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0" w:lineRule="auto"/>
        <w:ind w:left="1680" w:right="170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E À RESOLUÇÃO CVM Nº 19, DE 25 DE FEVEREIRO DE 2021</w:t>
      </w:r>
    </w:p>
    <w:p w:rsidR="00000000" w:rsidDel="00000000" w:rsidP="00000000" w:rsidRDefault="00000000" w:rsidRPr="00000000" w14:paraId="00000005">
      <w:pPr>
        <w:spacing w:before="175" w:lineRule="auto"/>
        <w:ind w:left="1680" w:right="170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(informações prestadas com base nas posições de 31 de dezembro de 2022)</w:t>
      </w:r>
    </w:p>
    <w:p w:rsidR="00000000" w:rsidDel="00000000" w:rsidP="00000000" w:rsidRDefault="00000000" w:rsidRPr="00000000" w14:paraId="0000000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" w:before="6" w:lineRule="auto"/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580" w:right="127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CONSULTOR DE VALORES MOBILIÁRIOS – PESSOA JURÍDICA</w:t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Identificação das pessoas responsáveis pelo conteúdo do formulário</w:t>
            </w:r>
          </w:p>
        </w:tc>
      </w:tr>
      <w:tr>
        <w:trPr>
          <w:cantSplit w:val="0"/>
          <w:trHeight w:val="123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71" w:right="47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Declaração do diretor responsável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pela atividade de consultoria de valores mobiliários e do diretor responsável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pela implementação e cumprimento de regras e procedimentos internos e das normas estabelecidas por esta Resolução, atestando que: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5"/>
              </w:tabs>
              <w:spacing w:after="0" w:before="119" w:line="240" w:lineRule="auto"/>
              <w:ind w:left="6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reviram o formulário de atividades</w:t>
            </w:r>
          </w:p>
        </w:tc>
      </w:tr>
      <w:tr>
        <w:trPr>
          <w:cantSplit w:val="0"/>
          <w:trHeight w:val="25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Brenner Nepomuceno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diretor responsável pela atividade de consultoria de valores  mobiliários, atesto que revi o formulário de atividades.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179" w:right="17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João Pedro Vieira Franco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diretor responsável pela implementação e cumprimento de regras e procedimentos internos e das normas, atesto que revi o formulário de atividades.</w:t>
            </w:r>
          </w:p>
        </w:tc>
      </w:tr>
      <w:tr>
        <w:trPr>
          <w:cantSplit w:val="0"/>
          <w:trHeight w:val="90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5"/>
              </w:tabs>
              <w:spacing w:after="0" w:before="119" w:line="288" w:lineRule="auto"/>
              <w:ind w:left="1151" w:right="476" w:hanging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o conjunto de informações nele contido é um retrato verdadeiro, preciso e completo da estrutura, dos negócios, das políticas e das práticas adotadas pela empresa</w:t>
            </w:r>
          </w:p>
        </w:tc>
      </w:tr>
      <w:tr>
        <w:trPr>
          <w:cantSplit w:val="0"/>
          <w:trHeight w:val="349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179" w:right="24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Brenner Nepomuceno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diretor responsável pela atividade de consultoria de valores mobiliários, atesto que o conjunto de informações nele contido é um retrato verdadeiro, preciso e completo da estrutura, dos negócios, das políticas e das práticas adotadas pela empresa.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179" w:right="234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João Pedro Vieira Franco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diretor responsável pela implementação e cumprimento de regras e procedimentos internos e das normas, atesto que o conjunto de informações nele contido é um retrato verdadeiro, preciso e completo da estrutura, dos negócios, das políticas e das práticas adotadas pela empresa.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Histórico da empresa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3"/>
              </w:tabs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Breve histórico sobre a constituição da empresa</w:t>
            </w:r>
          </w:p>
        </w:tc>
      </w:tr>
    </w:tbl>
    <w:p w:rsidR="00000000" w:rsidDel="00000000" w:rsidP="00000000" w:rsidRDefault="00000000" w:rsidRPr="00000000" w14:paraId="00000016">
      <w:pPr>
        <w:rPr>
          <w:sz w:val="24"/>
          <w:szCs w:val="24"/>
        </w:rPr>
        <w:sectPr>
          <w:headerReference r:id="rId7" w:type="default"/>
          <w:footerReference r:id="rId8" w:type="default"/>
          <w:pgSz w:h="16850" w:w="11910" w:orient="portrait"/>
          <w:pgMar w:bottom="440" w:top="2260" w:left="620" w:right="460" w:header="306" w:footer="25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" w:before="10" w:lineRule="auto"/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282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1" w:right="4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AUVP Consultoria Financeira de Investimentos LTDA (“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AUVP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”) teve seu início em 23/01/2023 como uma empresa com foco em planejamento financeiro pessoal. A empresa tinha como objetivo elaborar planos de ação abrangendo os objetivos financeiros de seus clientes.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71" w:right="4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 a necessidade de auxiliarmos nas estratégias de alocação deste plano para os nossos clientes, houve a necessidade de fazer a recomendação de investimentos em valores mobiliários de forma independente. Assim, a AUVP seguiu para realizar o seu credenciamento na CVM – Comissão de Valores Mobiliários.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88" w:lineRule="auto"/>
              <w:ind w:left="71" w:right="47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3"/>
              </w:tabs>
              <w:spacing w:after="0" w:before="119" w:line="288" w:lineRule="auto"/>
              <w:ind w:left="71" w:right="4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as mudanças relevantes pelas quais tenha passado a empresa nos últimos 5 (cinco) anos, incluindo:</w:t>
            </w:r>
          </w:p>
        </w:tc>
      </w:tr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1151" w:right="477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 os principais eventos societários, tais como incorporações, fusões, cisões, alienações e aquisições de controle societário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7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 alterações.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5"/>
              </w:tabs>
              <w:spacing w:after="0" w:before="121" w:line="240" w:lineRule="auto"/>
              <w:ind w:left="6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escopo das atividades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88" w:lineRule="auto"/>
              <w:ind w:left="71" w:right="4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AUVP tem por objeto a prestação de serviço de consultoria em investimento financeiro e valores mobiliários nos termos da Resolução CVM nº 19/2021 (“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RCVM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”).</w:t>
            </w:r>
          </w:p>
        </w:tc>
      </w:tr>
      <w:tr>
        <w:trPr>
          <w:cantSplit w:val="0"/>
          <w:trHeight w:val="135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5"/>
              </w:tabs>
              <w:spacing w:after="0" w:before="121" w:line="240" w:lineRule="auto"/>
              <w:ind w:left="6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  <w:t xml:space="preserve">recursos humanos e computacionais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NDA.</w:t>
            </w:r>
          </w:p>
        </w:tc>
      </w:tr>
    </w:tbl>
    <w:p w:rsidR="00000000" w:rsidDel="00000000" w:rsidP="00000000" w:rsidRDefault="00000000" w:rsidRPr="00000000" w14:paraId="00000022">
      <w:pPr>
        <w:spacing w:line="288" w:lineRule="auto"/>
        <w:rPr>
          <w:sz w:val="24"/>
          <w:szCs w:val="24"/>
        </w:rPr>
        <w:sectPr>
          <w:headerReference r:id="rId9" w:type="default"/>
          <w:footerReference r:id="rId10" w:type="default"/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" w:before="10" w:lineRule="auto"/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" w:before="10" w:lineRule="auto"/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0" w:lineRule="auto"/>
        <w:rPr>
          <w:i w:val="1"/>
          <w:sz w:val="16"/>
          <w:szCs w:val="16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716598</wp:posOffset>
                </wp:positionH>
                <wp:positionV relativeFrom="page">
                  <wp:posOffset>1914208</wp:posOffset>
                </wp:positionV>
                <wp:extent cx="6483350" cy="7997825"/>
                <wp:effectExtent b="0" l="0" r="0" t="0"/>
                <wp:wrapNone/>
                <wp:docPr id="184816885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09088" y="0"/>
                          <a:ext cx="6473825" cy="7560000"/>
                        </a:xfrm>
                        <a:custGeom>
                          <a:rect b="b" l="l" r="r" t="t"/>
                          <a:pathLst>
                            <a:path extrusionOk="0" h="12580" w="10195">
                              <a:moveTo>
                                <a:pt x="9" y="12570"/>
                              </a:moveTo>
                              <a:lnTo>
                                <a:pt x="0" y="12570"/>
                              </a:lnTo>
                              <a:lnTo>
                                <a:pt x="0" y="12580"/>
                              </a:lnTo>
                              <a:lnTo>
                                <a:pt x="9" y="12580"/>
                              </a:lnTo>
                              <a:lnTo>
                                <a:pt x="9" y="12570"/>
                              </a:lnTo>
                              <a:close/>
                              <a:moveTo>
                                <a:pt x="9" y="7604"/>
                              </a:moveTo>
                              <a:lnTo>
                                <a:pt x="0" y="7604"/>
                              </a:lnTo>
                              <a:lnTo>
                                <a:pt x="0" y="12570"/>
                              </a:lnTo>
                              <a:lnTo>
                                <a:pt x="9" y="12570"/>
                              </a:lnTo>
                              <a:lnTo>
                                <a:pt x="9" y="7604"/>
                              </a:lnTo>
                              <a:close/>
                              <a:moveTo>
                                <a:pt x="9" y="7595"/>
                              </a:moveTo>
                              <a:lnTo>
                                <a:pt x="0" y="7595"/>
                              </a:lnTo>
                              <a:lnTo>
                                <a:pt x="0" y="7604"/>
                              </a:lnTo>
                              <a:lnTo>
                                <a:pt x="9" y="7604"/>
                              </a:lnTo>
                              <a:lnTo>
                                <a:pt x="9" y="7595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595"/>
                              </a:lnTo>
                              <a:lnTo>
                                <a:pt x="9" y="7595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194" y="12570"/>
                              </a:moveTo>
                              <a:lnTo>
                                <a:pt x="10185" y="12570"/>
                              </a:lnTo>
                              <a:lnTo>
                                <a:pt x="9" y="12570"/>
                              </a:lnTo>
                              <a:lnTo>
                                <a:pt x="9" y="12580"/>
                              </a:lnTo>
                              <a:lnTo>
                                <a:pt x="10185" y="12580"/>
                              </a:lnTo>
                              <a:lnTo>
                                <a:pt x="10194" y="12580"/>
                              </a:lnTo>
                              <a:lnTo>
                                <a:pt x="10194" y="12570"/>
                              </a:lnTo>
                              <a:close/>
                              <a:moveTo>
                                <a:pt x="10194" y="7604"/>
                              </a:moveTo>
                              <a:lnTo>
                                <a:pt x="10185" y="7604"/>
                              </a:lnTo>
                              <a:lnTo>
                                <a:pt x="10185" y="12570"/>
                              </a:lnTo>
                              <a:lnTo>
                                <a:pt x="10194" y="12570"/>
                              </a:lnTo>
                              <a:lnTo>
                                <a:pt x="10194" y="7604"/>
                              </a:lnTo>
                              <a:close/>
                              <a:moveTo>
                                <a:pt x="10194" y="7595"/>
                              </a:moveTo>
                              <a:lnTo>
                                <a:pt x="10185" y="7595"/>
                              </a:lnTo>
                              <a:lnTo>
                                <a:pt x="9" y="7595"/>
                              </a:lnTo>
                              <a:lnTo>
                                <a:pt x="9" y="7604"/>
                              </a:lnTo>
                              <a:lnTo>
                                <a:pt x="10185" y="7604"/>
                              </a:lnTo>
                              <a:lnTo>
                                <a:pt x="10194" y="7604"/>
                              </a:lnTo>
                              <a:lnTo>
                                <a:pt x="10194" y="7595"/>
                              </a:lnTo>
                              <a:close/>
                              <a:moveTo>
                                <a:pt x="10194" y="0"/>
                              </a:moveTo>
                              <a:lnTo>
                                <a:pt x="1018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0185" y="10"/>
                              </a:lnTo>
                              <a:lnTo>
                                <a:pt x="10185" y="7595"/>
                              </a:lnTo>
                              <a:lnTo>
                                <a:pt x="10194" y="7595"/>
                              </a:lnTo>
                              <a:lnTo>
                                <a:pt x="10194" y="10"/>
                              </a:lnTo>
                              <a:lnTo>
                                <a:pt x="1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716598</wp:posOffset>
                </wp:positionH>
                <wp:positionV relativeFrom="page">
                  <wp:posOffset>1914208</wp:posOffset>
                </wp:positionV>
                <wp:extent cx="6483350" cy="7997825"/>
                <wp:effectExtent b="0" l="0" r="0" t="0"/>
                <wp:wrapNone/>
                <wp:docPr id="184816885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3350" cy="799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0" w:sz="4" w:val="single"/>
        </w:pBdr>
        <w:tabs>
          <w:tab w:val="left" w:leader="none" w:pos="1636"/>
        </w:tabs>
        <w:spacing w:before="90" w:lineRule="auto"/>
        <w:ind w:left="1132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regras, procedimentos e controles internos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0" w:sz="4" w:val="single"/>
        </w:pBdr>
        <w:tabs>
          <w:tab w:val="left" w:leader="none" w:pos="1636"/>
        </w:tabs>
        <w:spacing w:before="90" w:lineRule="auto"/>
        <w:ind w:left="11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0" w:sz="4" w:val="single"/>
        </w:pBdr>
        <w:tabs>
          <w:tab w:val="left" w:leader="none" w:pos="1636"/>
        </w:tabs>
        <w:spacing w:before="90" w:lineRule="auto"/>
        <w:ind w:left="113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atualização das políticas e melhorias internas estão disponíveis no sítio: https://auvp.com.br/compliance/</w:t>
      </w:r>
    </w:p>
    <w:p w:rsidR="00000000" w:rsidDel="00000000" w:rsidP="00000000" w:rsidRDefault="00000000" w:rsidRPr="00000000" w14:paraId="00000029">
      <w:pPr>
        <w:tabs>
          <w:tab w:val="left" w:leader="none" w:pos="1636"/>
        </w:tabs>
        <w:spacing w:before="9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8"/>
              </w:tabs>
              <w:spacing w:after="0" w:before="113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Recursos humanos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.666666666666668"/>
                <w:szCs w:val="26.666666666666668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3"/>
              </w:tabs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os recursos humanos da empresa, fornecendo as seguintes informações:</w:t>
            </w:r>
          </w:p>
        </w:tc>
      </w:tr>
      <w:tr>
        <w:trPr>
          <w:cantSplit w:val="0"/>
          <w:trHeight w:val="102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21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número de sócios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(dois)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número de empregados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empregados.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  <w:t xml:space="preserve">número de terceirizados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terceirizados.</w:t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1" w:lineRule="auto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114300</wp:posOffset>
                </wp:positionV>
                <wp:extent cx="7620" cy="12700"/>
                <wp:effectExtent b="0" l="0" r="0" t="0"/>
                <wp:wrapTopAndBottom distB="0" distT="0"/>
                <wp:docPr id="184816886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31600" y="377619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114300</wp:posOffset>
                </wp:positionV>
                <wp:extent cx="7620" cy="12700"/>
                <wp:effectExtent b="0" l="0" r="0" t="0"/>
                <wp:wrapTopAndBottom distB="0" distT="0"/>
                <wp:docPr id="184816886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spacing w:before="72" w:lineRule="auto"/>
        <w:ind w:left="513" w:right="363" w:firstLine="0"/>
        <w:rPr>
          <w:sz w:val="20"/>
          <w:szCs w:val="20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A empresa deve informar apenas dados relativos à área envolvida na consultoria de valores mobiliários, caso exerça outras atividades.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135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88" w:lineRule="auto"/>
              <w:ind w:left="1204" w:right="479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</w:t>
              <w:tab/>
              <w:t xml:space="preserve">lista das pessoas naturais que são registradas na CVM como consultor de valores mobiliários e atuam exclusivamente como prepostos, empregados ou sócios da empresa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Brenner Nepomuceno (CPF 039.530.611-60)</w:t>
              <w:br w:type="textWrapping"/>
              <w:t xml:space="preserve">Guilherme de Carvalho Matos (CPF 037.351.881-17)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Auditores</w:t>
            </w:r>
          </w:p>
        </w:tc>
      </w:tr>
      <w:tr>
        <w:trPr>
          <w:cantSplit w:val="0"/>
          <w:trHeight w:val="1024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3"/>
              </w:tabs>
              <w:spacing w:after="0" w:before="12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relação aos auditores independentes, indicar, se houver: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 se aplica.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5"/>
              </w:tabs>
              <w:spacing w:after="0" w:before="119" w:line="240" w:lineRule="auto"/>
              <w:ind w:left="6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nome empresarial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 se aplica.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5"/>
              </w:tabs>
              <w:spacing w:after="0" w:before="119" w:line="240" w:lineRule="auto"/>
              <w:ind w:left="6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data de contratação dos serviços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 se aplica.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5"/>
              </w:tabs>
              <w:spacing w:after="0" w:before="119" w:line="240" w:lineRule="auto"/>
              <w:ind w:left="6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  <w:t xml:space="preserve">descrição dos serviços contratados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 se aplica.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Resiliência financeira</w:t>
            </w:r>
          </w:p>
        </w:tc>
      </w:tr>
      <w:tr>
        <w:trPr>
          <w:cantSplit w:val="0"/>
          <w:trHeight w:val="346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71" w:right="47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 base nas demonstrações financeiras, ateste se a receita em decorrência da atividade de consultoria de valores mobiliários é suficiente para cobrir os custos e os investimentos da empresa com tal atividade.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7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Atestamos para os devidos fins que a receita auferida com a atividade de consultoria de valores mobiliários é suficiente para cobrir os custos e investimentos da empresa com a atividade de consultoria de valores mobiliários.</w:t>
            </w:r>
          </w:p>
        </w:tc>
      </w:tr>
    </w:tbl>
    <w:p w:rsidR="00000000" w:rsidDel="00000000" w:rsidP="00000000" w:rsidRDefault="00000000" w:rsidRPr="00000000" w14:paraId="00000044">
      <w:pPr>
        <w:spacing w:line="288" w:lineRule="auto"/>
        <w:jc w:val="both"/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8"/>
              </w:tabs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Escopo das atividades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3"/>
              </w:tabs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detalhadamente as atividades desenvolvidas pela empresa, indicando, no mínimo:</w:t>
            </w:r>
          </w:p>
        </w:tc>
      </w:tr>
      <w:tr>
        <w:trPr>
          <w:cantSplit w:val="0"/>
          <w:trHeight w:val="182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21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tipos e características dos serviços prestados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71" w:right="4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prestados os serviços de planejamento que abrangem as áreas de planejamento financeiro pessoal – gestão financeira, horizonte de tempo, investimentos, risco e sucessório. A partir da avaliação do perfil do cliente e aderindo o planejamento ao seu ciclo de vida e necessidades futuras.</w:t>
            </w:r>
          </w:p>
        </w:tc>
      </w:tr>
      <w:tr>
        <w:trPr>
          <w:cantSplit w:val="0"/>
          <w:trHeight w:val="135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tipos de valores mobiliários objeto de consultoria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Fundos de investimento, ativos de renda fixa, ações, fundos imobiliários, ETF, derivativos, produtos estruturados e clubes de investimento.</w:t>
            </w:r>
          </w:p>
        </w:tc>
      </w:tr>
      <w:tr>
        <w:trPr>
          <w:cantSplit w:val="0"/>
          <w:trHeight w:val="2016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  <w:t xml:space="preserve">características do processo de “conheça seu cliente”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suitability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praticados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71" w:right="47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Aplicação de entrevista e questionário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Suitability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todos os clientes após a contratação da consultoria. A ideia da entrevista é entender os objetivos financeiros do cliente, assim como sua tolerância ao risco e aspectos pessoais que possam influenciar a recomendação dos tipos de investimentos mais adequados.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0" w:right="47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Além de backtests realizados em ativos que possuem maior grau de risco, aderidos a perfis arrojados, possuímos uma metodologia de acompanhamento das carteiras de investimentos que contam com o controle das proporções das classes de ativos em carteira, em função da atribuição de riscos à mesma. Além de atribuir notas de perenidade que visam reduzir ainda mais o risco da carteira a fim de ponderar de maneira ampla as compras que serão realizadas. </w:t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3"/>
              </w:tabs>
              <w:spacing w:after="0" w:before="119" w:line="288" w:lineRule="auto"/>
              <w:ind w:left="71" w:right="4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6.2.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resumidamente as atividades desenvolvidas pela empresa que não sejam de consultoria de valores mobiliários, destacando:</w:t>
            </w:r>
          </w:p>
        </w:tc>
      </w:tr>
      <w:tr>
        <w:trPr>
          <w:cantSplit w:val="0"/>
          <w:trHeight w:val="201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os potenciais conflitos de interesses existentes entre tais atividades; 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71" w:right="474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 exercida a atividade de planejamento financeiro pessoal, de forma integrada e única, juntamente com o serviço de consultoria de valores mobiliários. Não há conflitos de interesse, pois a atividade de consultoria de valores mobiliários complementa a atividade de planejamento, constituindo, ao final, um serviço único.</w:t>
            </w:r>
          </w:p>
        </w:tc>
      </w:tr>
    </w:tbl>
    <w:p w:rsidR="00000000" w:rsidDel="00000000" w:rsidP="00000000" w:rsidRDefault="00000000" w:rsidRPr="00000000" w14:paraId="00000052">
      <w:pPr>
        <w:spacing w:line="288" w:lineRule="auto"/>
        <w:jc w:val="both"/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2262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1065" w:right="470" w:hanging="42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 informações sobre as atividades exercidas por sociedades controladoras, controladas, coligadas e sob controle comum ao consultor e os potenciais conflitos de interesses existentes entre tais atividades.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6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demais atividades exercidas pela sociedade dos sócios administradores da empresa são referentes a treinamentos e cursos voltados para educação financeira, além de ferramentas para auxiliar o investidor. Estas atividades não representam conflitos de interesse.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3"/>
              </w:tabs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6.3.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o perfil dos clientes da empresa, fornecendo as seguintes informações:</w:t>
            </w:r>
          </w:p>
        </w:tc>
      </w:tr>
      <w:tr>
        <w:trPr>
          <w:cantSplit w:val="0"/>
          <w:trHeight w:val="270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88" w:lineRule="auto"/>
              <w:ind w:left="1065" w:right="479" w:hanging="42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número de clientes (total e dividido entre investidores profissionais, qualificados e não qualificados, conforme regulamentação específica)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91" w:lineRule="auto"/>
              <w:ind w:left="278" w:right="708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 clientes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não qualificados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23 clientes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qualificados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clientes profissionais.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2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= 91 clientes</w:t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21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número de clientes, dividido por: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</w:t>
              <w:tab/>
              <w:t xml:space="preserve">pessoas naturais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3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89.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</w:t>
              <w:tab/>
              <w:t xml:space="preserve">pessoas jurídicas (não financeiras ou institucionais)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3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</w:t>
              <w:tab/>
              <w:t xml:space="preserve">instituições financeiras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iv.</w:t>
              <w:tab/>
              <w:t xml:space="preserve">entidades abertas de previdência complementar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v.</w:t>
              <w:tab/>
              <w:t xml:space="preserve">entidades fechadas de previdência complementar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66">
      <w:pPr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5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vi.</w:t>
              <w:tab/>
              <w:t xml:space="preserve">regimes próprios de previdência social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5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vii.</w:t>
              <w:tab/>
              <w:t xml:space="preserve">Seguradoras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59"/>
              </w:tabs>
              <w:spacing w:after="0" w:before="121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viii.</w:t>
              <w:tab/>
              <w:t xml:space="preserve">sociedades de capitalização e de arrendamento mercantil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5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ix.</w:t>
              <w:tab/>
              <w:t xml:space="preserve">clubes de investimento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x.</w:t>
              <w:tab/>
              <w:t xml:space="preserve">fundos de investimento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xi.</w:t>
              <w:tab/>
              <w:t xml:space="preserve">investidores não residentes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xii.</w:t>
              <w:tab/>
              <w:t xml:space="preserve">outros (especificar)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63"/>
              </w:tabs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6.4.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Fornecer outras informações que a empresa julgue relevantes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8"/>
              </w:tabs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  <w:tab/>
              <w:t xml:space="preserve">Grupo econômico</w:t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1"/>
              </w:tabs>
              <w:spacing w:after="0" w:before="12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o grupo econômico em que se insere a empresa, indicando: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controladores diretos e indiretos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N/A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controladas e coligadas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  <w:t xml:space="preserve">participações da empresa em sociedades do grupo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80">
      <w:pPr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</w:t>
              <w:tab/>
              <w:t xml:space="preserve">participações de sociedades do grupo na empresa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</w:t>
              <w:tab/>
              <w:t xml:space="preserve">sociedades sob controle comum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356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1"/>
              </w:tabs>
              <w:spacing w:after="0" w:before="121" w:line="288" w:lineRule="auto"/>
              <w:ind w:left="71" w:right="4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7.2.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Caso a empresa deseje, inserir organograma do grupo econômico em que se insere a empresa, desde que compatível com as informações apresentadas no item 7.1.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Estrutura operacional e administrativa</w:t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a estrutura administrativa da empresa, conforme estabelecido no seu contrato ou estatuto social e regimento interno, identificando:</w:t>
            </w:r>
          </w:p>
        </w:tc>
      </w:tr>
    </w:tbl>
    <w:p w:rsidR="00000000" w:rsidDel="00000000" w:rsidP="00000000" w:rsidRDefault="00000000" w:rsidRPr="00000000" w14:paraId="0000008A">
      <w:pPr>
        <w:spacing w:line="288" w:lineRule="auto"/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183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atribuições de cada órgão, comitê e departamento técnico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71" w:right="469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de Consultoria de Valores Mobiliários e Planejamento Financeiro Pessoal, Área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Compliance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(controles internos, regras, procedimentos), Atividade Administrativa, Atividade de Vendas e Relacionamento com o Cliente e Atividade de Pesquisa.</w:t>
            </w:r>
          </w:p>
        </w:tc>
      </w:tr>
      <w:tr>
        <w:trPr>
          <w:cantSplit w:val="0"/>
          <w:trHeight w:val="2402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88" w:lineRule="auto"/>
              <w:ind w:left="1204" w:right="475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em relação aos comitês, sua composição, frequência com que são realizadas suas reuniões e a forma como são registradas suas decisões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realizadas reuniões semanais de sócio, diretores e colaboradores, relativas às atividades da empresa e as suas atribuições.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Diretor de Consultoria realiza reuniões semanais para ajuste das recomendações de valores mobiliários dadas aos clientes.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4574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  <w:t xml:space="preserve">em relação aos membros da diretoria, suas atribuições e poderes individuais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71" w:right="47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administração e o gerenciamento da sociedade, bem como a responsabilidade de caixa, são de competência exclusiva do sócio administrador e Diretor técnico Mateus Batista Soares que assina todos os documentos da empresa isoladamente, representando-a ativa e passivamente, em juízo ou fora dele, podendo ainda nomear procuradores com poderes específicos, ficando, entretanto, proibido dar avais ou vincular a Sociedade em qualquer responsabilidade estranha aos seus fins.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88" w:lineRule="auto"/>
              <w:ind w:left="71" w:right="46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Nos termos do art. 4º, II, da RCVM 19, Brenner Nepomuceno atua como Diretor Técnico responsável pela atividade de consultoria de valores mobiliários.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73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Nos termos do art. 4º, III, da RCVM 19, o administrador João Pedro Vieira Franco atua como diretor responsável pela implementação e cumprimento de regras, procedimentos e controles internos e das normas estabelecidas na mencionada Resolução.</w:t>
            </w:r>
          </w:p>
        </w:tc>
      </w:tr>
      <w:tr>
        <w:trPr>
          <w:cantSplit w:val="0"/>
          <w:trHeight w:val="1353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Caso a empresa deseje, inserir organograma da estrutura administrativa da empresa, desde que compatível com as informações apresentadas no item 8.1.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71" w:right="47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relação a cada um dos diretores responsáveis de que tratam os incisos III e IV do art. 4º, indicar, em forma de tabela:</w:t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21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nome: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idade: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  <w:t xml:space="preserve">profissão: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</w:t>
              <w:tab/>
              <w:t xml:space="preserve">CPF ou número do passaporte: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</w:t>
              <w:tab/>
              <w:t xml:space="preserve">cargo ocupado: </w:t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f.</w:t>
              <w:tab/>
              <w:t xml:space="preserve">data da posse: </w:t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21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g.</w:t>
              <w:tab/>
              <w:t xml:space="preserve">prazo do mandato: </w:t>
            </w:r>
          </w:p>
        </w:tc>
      </w:tr>
    </w:tbl>
    <w:p w:rsidR="00000000" w:rsidDel="00000000" w:rsidP="00000000" w:rsidRDefault="00000000" w:rsidRPr="00000000" w14:paraId="000000A5">
      <w:pPr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87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7"/>
        <w:gridCol w:w="3488"/>
        <w:gridCol w:w="3102"/>
        <w:gridCol w:w="80"/>
        <w:tblGridChange w:id="0">
          <w:tblGrid>
            <w:gridCol w:w="3517"/>
            <w:gridCol w:w="3488"/>
            <w:gridCol w:w="3102"/>
            <w:gridCol w:w="80"/>
          </w:tblGrid>
        </w:tblGridChange>
      </w:tblGrid>
      <w:tr>
        <w:trPr>
          <w:cantSplit w:val="0"/>
          <w:trHeight w:val="1021" w:hRule="atLeast"/>
          <w:tblHeader w:val="0"/>
        </w:trPr>
        <w:tc>
          <w:tcPr>
            <w:gridSpan w:val="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h.</w:t>
              <w:tab/>
              <w:t xml:space="preserve">outros cargos ou funções exercidas na empresa</w:t>
            </w:r>
          </w:p>
        </w:tc>
      </w:tr>
      <w:tr>
        <w:trPr>
          <w:cantSplit w:val="0"/>
          <w:trHeight w:val="2723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63" w:right="1028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 Responsável pela Consultoria de Valores Mobiliários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Suitability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88" w:lineRule="auto"/>
              <w:ind w:left="66" w:right="48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Diretora Responsável pela Implementação e Cumprimento de Regras, Procedimentos e Controles Internos e das Normas Estabelecidas pela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Resolução CVM nº 19/2021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PLD.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Brenner Nepomuceno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João Pedro Vieira Franco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Idade</w:t>
            </w:r>
          </w:p>
        </w:tc>
        <w:tc>
          <w:tcPr>
            <w:tcBorders>
              <w:left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Profissão</w:t>
            </w:r>
          </w:p>
        </w:tc>
        <w:tc>
          <w:tcPr>
            <w:tcBorders>
              <w:left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88" w:lineRule="auto"/>
              <w:ind w:left="63" w:right="8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Economista e Consultor de Valores Mobiliários</w:t>
            </w:r>
          </w:p>
        </w:tc>
        <w:tc>
          <w:tcPr>
            <w:tcBorders>
              <w:left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Gestor Empresarial e Me. Controladoria e Finanças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left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011.375.561-96</w:t>
            </w:r>
          </w:p>
        </w:tc>
        <w:tc>
          <w:tcPr>
            <w:tcBorders>
              <w:left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700.316.411-64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 Ocupado</w:t>
            </w:r>
          </w:p>
        </w:tc>
        <w:tc>
          <w:tcPr>
            <w:tcBorders>
              <w:left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88" w:lineRule="auto"/>
              <w:ind w:left="63" w:right="506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 de consultoria de valores mobiliários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suitability</w:t>
            </w:r>
          </w:p>
        </w:tc>
        <w:tc>
          <w:tcPr>
            <w:tcBorders>
              <w:left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88" w:lineRule="auto"/>
              <w:ind w:left="66" w:right="62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Compliance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PLD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da Posse</w:t>
            </w:r>
          </w:p>
        </w:tc>
        <w:tc>
          <w:tcPr>
            <w:tcBorders>
              <w:left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28/08/2023</w:t>
            </w:r>
          </w:p>
        </w:tc>
        <w:tc>
          <w:tcPr>
            <w:tcBorders>
              <w:left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23/01/2023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Prazo do Mandato</w:t>
            </w:r>
          </w:p>
        </w:tc>
        <w:tc>
          <w:tcPr>
            <w:tcBorders>
              <w:left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Indeterminado</w:t>
            </w:r>
          </w:p>
        </w:tc>
        <w:tc>
          <w:tcPr>
            <w:tcBorders>
              <w:left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Indeterminado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tcBorders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88" w:lineRule="auto"/>
              <w:ind w:left="141" w:right="102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outros cargos ou funções exercidas na empresa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relação ao diretor responsável pela consultoria de valores mobiliários fornecer: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currículo, contendo as seguintes informações:</w:t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</w:t>
              <w:tab/>
              <w:t xml:space="preserve">cursos concluídos;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175" w:line="240" w:lineRule="auto"/>
              <w:ind w:left="211" w:right="0" w:hanging="14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Graduação: Universidade Federal de Goiás, 2021.</w:t>
            </w:r>
          </w:p>
        </w:tc>
      </w:tr>
    </w:tbl>
    <w:p w:rsidR="00000000" w:rsidDel="00000000" w:rsidP="00000000" w:rsidRDefault="00000000" w:rsidRPr="00000000" w14:paraId="000000E3">
      <w:pPr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986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</w:t>
              <w:tab/>
              <w:t xml:space="preserve">aprovação em exame de certificação profissional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5" w:line="240" w:lineRule="auto"/>
              <w:ind w:left="211" w:right="0" w:hanging="14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CEA – Consultor Especialista ANBIMA - 2022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</w:t>
              <w:tab/>
              <w:t xml:space="preserve">principais experiências profissionais durante os últimos 5 anos, indicando:</w:t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2303" w:right="0" w:hanging="793.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Fundação de Apoio à Pesquisa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19" w:line="240" w:lineRule="auto"/>
              <w:ind w:left="2303" w:right="0" w:hanging="793.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Gestor de Projetos – controle e acompanhamento de contratos administrativos referentes a projetos de pesquisa linkados à Universidade Federal de Goiás.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19" w:line="240" w:lineRule="auto"/>
              <w:ind w:left="2303" w:right="0" w:hanging="793.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Administração financeira de recursos de pesquisa.</w:t>
            </w:r>
          </w:p>
        </w:tc>
      </w:tr>
      <w:tr>
        <w:trPr>
          <w:cantSplit w:val="0"/>
          <w:trHeight w:val="4342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19" w:line="240" w:lineRule="auto"/>
              <w:ind w:left="2303" w:right="0" w:hanging="793.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datas de entrada e saída do cargo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6" w:line="240" w:lineRule="auto"/>
              <w:ind w:left="211" w:right="0" w:hanging="14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Fundação de Apoio à Pesquisa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6" w:line="240" w:lineRule="auto"/>
              <w:ind w:left="2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 de Gestor de Projetos – controle e acompanhamento de contratos administrativos referentes a projetos de pesquisa linkados à Universidade Federal de Goiás.</w:t>
              <w:br w:type="textWrapping"/>
              <w:t xml:space="preserve">Principais atividades da empresa – Administração financeira de recursos de pesquisa.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6" w:line="240" w:lineRule="auto"/>
              <w:ind w:left="211" w:right="0" w:hanging="14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Consultor de Investimentos Pessoa Física - CVM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6" w:line="240" w:lineRule="auto"/>
              <w:ind w:left="2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de Consultoria de Valores Mobiliários – Agosto/2022 a Agosto/2023.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91" w:lineRule="auto"/>
              <w:ind w:left="71" w:right="412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AUVP Consultoria  (Agosto/2023 – até o momento)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Diretor Responsável pela Consultoria de Valores Mobiliários.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71" w:right="4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relação ao diretor responsável pela implementação e cumprimento de regras, procedimentos e controles internos e das normas estabelecidas por esta Instrução fornecer: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currículo, contendo as seguintes informações:</w:t>
            </w:r>
          </w:p>
        </w:tc>
      </w:tr>
    </w:tbl>
    <w:p w:rsidR="00000000" w:rsidDel="00000000" w:rsidP="00000000" w:rsidRDefault="00000000" w:rsidRPr="00000000" w14:paraId="000000F8">
      <w:pPr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12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12"/>
        <w:tblGridChange w:id="0">
          <w:tblGrid>
            <w:gridCol w:w="10112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</w:t>
              <w:tab/>
              <w:t xml:space="preserve">cursos concluídos;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Gestão Empresarial, Administração e Negócios (2015 – 2018) – SENAC-GO</w:t>
              <w:br w:type="textWrapping"/>
              <w:t xml:space="preserve">MBA Finanças e Controladoria (2020 -2022) - USP</w:t>
            </w:r>
          </w:p>
        </w:tc>
      </w:tr>
      <w:tr>
        <w:trPr>
          <w:cantSplit w:val="0"/>
          <w:trHeight w:val="592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19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</w:t>
              <w:tab/>
              <w:t xml:space="preserve">aprovação em exame de certificação profissional (opcional)</w:t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</w:tabs>
              <w:spacing w:after="0" w:before="121" w:line="240" w:lineRule="auto"/>
              <w:ind w:left="12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</w:t>
              <w:tab/>
              <w:t xml:space="preserve">principais experiências profissionais durante os últimos 5 anos, indicando:</w:t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2303" w:right="0" w:hanging="793.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empresa</w:t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2303" w:right="0" w:hanging="793.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 e funções inerentes ao cargo</w:t>
            </w:r>
          </w:p>
        </w:tc>
      </w:tr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2303" w:right="0" w:hanging="793.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 principal da empresa na qual tais experiências ocorreram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2303" w:right="0" w:hanging="791.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datas de entrada e saída do cargo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6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6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Portal Dia Online – Diretor Executivo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Agosto/2018 a Outubro/2020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6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Criação de rotinas operacionais, gestão de risco, cultura organizacional e projetos especiais para obtenção de novas fontes de receita.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6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6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Brainship – Diretor de Operações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Fevereiro/2019 a Agosto/2022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6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de COO, monitoramento operacional, desenvolvimento de planejamento estratégico, econômico-financeiro, além de implementação de políticas e procedimentos para a organização.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76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Investidor Sardinha – Sócio Fundador e Diretor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Junho de 2020 a atualmente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Atuar no planejamento estratégico da empresa.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AUVP Consultoria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Sócio Fundador e Diretor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 Janeiro/2023 a atualmente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Diretor responsável pela Área de Compliance e PLD.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3"/>
                <w:tab w:val="left" w:leader="none" w:pos="2304"/>
              </w:tabs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"/>
              </w:tabs>
              <w:spacing w:after="0" w:before="120" w:line="288" w:lineRule="auto"/>
              <w:ind w:left="0" w:right="68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45" w:right="4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Fornecer informações sobre a estrutura mantida para a atividade de consultoria de valores mobiliários, incluindo:</w:t>
            </w:r>
          </w:p>
        </w:tc>
      </w:tr>
      <w:tr>
        <w:trPr>
          <w:cantSplit w:val="0"/>
          <w:trHeight w:val="1206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quantidade de profissionais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(três) Profissionais Consultores de Investimentos -  CEA</w:t>
              <w:br w:type="textWrapping"/>
              <w:t xml:space="preserve">1 (um) Profissional CFP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br w:type="textWrapping"/>
              <w:t xml:space="preserve">1 (um) Analista de Produto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8"/>
              </w:tabs>
              <w:spacing w:after="0" w:before="119" w:line="240" w:lineRule="auto"/>
              <w:ind w:left="6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percentual dos profissionais certificados ou registrados como consultores na CVM: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 (cem por cento)</w:t>
            </w:r>
          </w:p>
        </w:tc>
      </w:tr>
    </w:tbl>
    <w:p w:rsidR="00000000" w:rsidDel="00000000" w:rsidP="00000000" w:rsidRDefault="00000000" w:rsidRPr="00000000" w14:paraId="0000011B">
      <w:pPr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1695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  <w:t xml:space="preserve">natureza das atividades desenvolvidas pelos seus integrantes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71" w:right="4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Dedicado a atividades de consultoria em valores mobiliários. Profissional responsável pelo estudo inicial e acompanhamento dos investimentos dos clientes no mercado de valores mobiliários.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0" w:right="473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Elaboração de propostas de alocação aos clientes considerando níveis de risco adequados.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0" w:right="473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Monitoramento e adequação das carteiras de investimento, suas alocações, rentabilidades, exposições e controles de risco.</w:t>
            </w:r>
          </w:p>
        </w:tc>
      </w:tr>
      <w:tr>
        <w:trPr>
          <w:cantSplit w:val="0"/>
          <w:trHeight w:val="1685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</w:t>
              <w:tab/>
              <w:t xml:space="preserve">os sistemas de informação, as rotinas e os procedimentos envolvidos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71" w:right="474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de CRM SalesForce, armazenamento de informações em nuvem, planilhas próprias para elaboração e acompanhamento das carteiras via consolidador e quotizador (Gorila e Kinvo), além de relatórios próprios fornecidos aos clientes.</w:t>
            </w:r>
          </w:p>
        </w:tc>
      </w:tr>
      <w:tr>
        <w:trPr>
          <w:cantSplit w:val="0"/>
          <w:trHeight w:val="1233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69" w:right="47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Fornecer informações sobre a estrutura mantida para a verificação do permanente atendimento às normas legais e regulamentares aplicáveis à atividade e para a fiscalização dos serviços prestados pelos terceiros contratados, incluindo:</w:t>
            </w:r>
          </w:p>
        </w:tc>
      </w:tr>
      <w:tr>
        <w:trPr>
          <w:cantSplit w:val="0"/>
          <w:trHeight w:val="1024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21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quantidade de profissionais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(dois)</w:t>
            </w:r>
          </w:p>
        </w:tc>
      </w:tr>
      <w:tr>
        <w:trPr>
          <w:cantSplit w:val="0"/>
          <w:trHeight w:val="6048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natureza das atividades desenvolvidas pelos seus integrantes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diretor responsável pelo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Compliance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com o suporte de sua equipe, deve: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1-) Auxiliar a alta administração no gerenciamento efetivo do risco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Compliance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2-) Gerenciar o Comitê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Compliance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Controles Internos, garantindo seu adequado funcionamento;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3-) Secretariar o Conselho de Ética, composto pelos membros da diretoria, e que se reúne apenas sob demanda para avaliação de casos de desvio de conduta graves;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4-) Monitorar e exercer os controles e procedimentos necessários ao cumprimento das normas.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88" w:lineRule="auto"/>
              <w:ind w:left="71" w:right="47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Todos os colaboradores devem estar comprometidos com a cultura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Compliance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reportar, imediatamente, ao Diretor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Compliance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qualquer suspeita e/ou evidência de desconformidade.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7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 responsabilidade dos colaboradores da Confiança o cumprimento das normas legais e infra legais a ela aplicáveis, bem como do Código de Ética e Conduta Profissional, devendo comunicar imediatamente a ocorrência de violações e/ou indícios de violação ao responsável pelo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Compliance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2E">
      <w:pPr>
        <w:spacing w:line="288" w:lineRule="auto"/>
        <w:jc w:val="both"/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3276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  <w:t xml:space="preserve">os sistemas de informação, as rotinas e os procedimentos envolvidos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Sistema de Controles Internos da AUVP Consultoria é composto por: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176" w:line="240" w:lineRule="auto"/>
              <w:ind w:left="319" w:right="0" w:hanging="14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Políticas internas formais;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175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Obrigações de registro e guarda de informações;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176" w:line="240" w:lineRule="auto"/>
              <w:ind w:left="319" w:right="0" w:hanging="14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 de Troca de mensagens eletrônicas – e-mail e whatsapp institucional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176" w:line="240" w:lineRule="auto"/>
              <w:ind w:left="319" w:right="0" w:hanging="14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Acompanhamento de enquadramento de carteiras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1" w:line="240" w:lineRule="auto"/>
              <w:ind w:left="0" w:right="70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1572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</w:t>
              <w:tab/>
              <w:t xml:space="preserve">a forma como a empresa garante a independência do trabalho executado pelo setor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88" w:lineRule="auto"/>
              <w:ind w:left="71" w:right="47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segregação da Área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Compliance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 respeito às áreas de atendimento aos clientes e prestação dos serviços de consultoria de valores mobiliários.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71" w:right="47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jc w:val="both"/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Outras informações que a empresa julgue relevantes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Remuneração da empresa</w:t>
            </w:r>
          </w:p>
        </w:tc>
      </w:tr>
      <w:tr>
        <w:trPr>
          <w:cantSplit w:val="0"/>
          <w:trHeight w:val="7794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8"/>
              </w:tabs>
              <w:spacing w:after="0" w:before="119" w:line="288" w:lineRule="auto"/>
              <w:ind w:left="71" w:right="48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9.1.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relação a cada tipo de serviço prestado, conforme descrito no item 6.1.a, indicar as principais formas de remuneração que pratica.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a consultoria de valores mobiliários é cobrado um valor fixo, de maneira pontual, de livre pactuação entre cliente e consultoria, para todo o serviço de consultoria.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88" w:lineRule="auto"/>
              <w:ind w:left="71" w:right="469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Até o momento, o serviço de consultoria não é baseado na cobrança de percentual do patrimônio do cliente sob consultoria.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73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AUVP tem a prerrogativa de alteração destas bases de acordo com seus objetivos comerciais, cenário econômico, especificidades do cliente ou do serviço contratado, buscando patamares compatíveis com tais situações especiais, sendo da AUVP a prerrogativa de reavaliações de cenários de mercado no momento que entender oportuno.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73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Portanto, os valores cobrados são referência e não implicam compromisso, garantia ou promessa de aceitação de contrato de prestação de serviço de consultoria nestas bases, cabendo única e exclusivamente a AUVP definir individualmente se pretende aceitar determinado cliente.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7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88" w:lineRule="auto"/>
              <w:ind w:left="71" w:right="47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Indicar, exclusivamente em termos percentuais sobre a receita total auferida nos 36 (trinta e seis) meses anteriores à data base deste formulário, a receita proveniente, durante o mesmo período, dos clientes em decorrência de: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5"/>
              </w:tabs>
              <w:spacing w:after="0" w:before="119" w:line="240" w:lineRule="auto"/>
              <w:ind w:left="6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taxas com bases fixas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 (cem por cento)</w:t>
            </w:r>
          </w:p>
        </w:tc>
      </w:tr>
    </w:tbl>
    <w:p w:rsidR="00000000" w:rsidDel="00000000" w:rsidP="00000000" w:rsidRDefault="00000000" w:rsidRPr="00000000" w14:paraId="0000014E">
      <w:pPr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5"/>
              </w:tabs>
              <w:spacing w:after="0" w:before="119" w:line="240" w:lineRule="auto"/>
              <w:ind w:left="6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taxas de performance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2016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1204" w:right="472" w:hanging="59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 no caso de clientes profissionais, nos termos da regulamentação específica, remunerações, tais como rebates e outras formas de remuneração que não sejam diretamente recebidas de seus clientes de consultoria e que estejam relacionadas com previsão existente no parágrafo único do art. 17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5"/>
              </w:tabs>
              <w:spacing w:after="0" w:before="121" w:line="240" w:lineRule="auto"/>
              <w:ind w:left="6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</w:t>
              <w:tab/>
              <w:t xml:space="preserve">honorários por hora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4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5"/>
              </w:tabs>
              <w:spacing w:after="0" w:before="121" w:line="240" w:lineRule="auto"/>
              <w:ind w:left="6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</w:t>
              <w:tab/>
              <w:t xml:space="preserve">outras formas de remuneração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353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8"/>
              </w:tabs>
              <w:spacing w:after="0" w:before="119" w:line="288" w:lineRule="auto"/>
              <w:ind w:left="71" w:right="47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9.3.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caso do recebimento de taxas de performance, explicar a metodologia de cálculo e apuração, vinculação a um índice de referência, periodicidade de apuração e pagamento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8"/>
              </w:tabs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9.4.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Fornecer outras informações que a empresa julgue relevantes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8"/>
              </w:tabs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  <w:tab/>
              <w:t xml:space="preserve">Regras, procedimentos e controles internos</w:t>
            </w:r>
          </w:p>
        </w:tc>
      </w:tr>
      <w:tr>
        <w:trPr>
          <w:cantSplit w:val="0"/>
          <w:trHeight w:val="3581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71" w:right="47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as regras para o tratamento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 dollar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tais como recebimento de presentes, cursos, viagens etc.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8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AUVP não atua na gestão de recursos, não gerando, portanto, interesse de corretoras pelo fluxo de operações, com a oferta de benefícios da natureza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 dollar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69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 há vinculação da empresa com contrapartes específicas, sendo procuradas sempre as melhores alternativas no mercado financeiro e de capitais para os diferentes perfis de clientes atendidos pela consultoria.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79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Código de Ética da empresa estabelece regras específicas sobre presentes e benefícios similares que possam ser oferecidos aos colaboradores.</w:t>
            </w:r>
          </w:p>
        </w:tc>
      </w:tr>
    </w:tbl>
    <w:p w:rsidR="00000000" w:rsidDel="00000000" w:rsidP="00000000" w:rsidRDefault="00000000" w:rsidRPr="00000000" w14:paraId="00000161">
      <w:pPr>
        <w:spacing w:line="288" w:lineRule="auto"/>
        <w:jc w:val="both"/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1353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9"/>
              </w:tabs>
              <w:spacing w:after="0" w:before="119" w:line="288" w:lineRule="auto"/>
              <w:ind w:left="71" w:right="4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da página do consultor na rede mundial de computadores na qual podem ser encontrados os documentos exigidos pelo art. 13 desta Instrução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www.auvp.com.br/compliance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8"/>
              </w:tabs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  <w:tab/>
              <w:t xml:space="preserve">Contingências</w:t>
            </w:r>
          </w:p>
        </w:tc>
      </w:tr>
      <w:tr>
        <w:trPr>
          <w:cantSplit w:val="0"/>
          <w:trHeight w:val="1236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88" w:lineRule="auto"/>
              <w:ind w:left="71" w:right="47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os processos judiciais, procedimentos administrativos ou arbitrais, que não estejam sob sigilo, em que a empresa figure no polo passivo, que sejam relevantes para os negócios da empresa, indicando: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principais fatos: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valores, bens ou direitos envolvidos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233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71" w:right="47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os processos judiciais, procedimentos administrativos ou arbitrais, que não estejam sob sigilo, em que o diretor responsável pela consultoria de valores mobiliários figure no polo passivo e que afetem sua reputação profissional, indicando: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principais fatos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valores, bens ou direitos envolvidos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9"/>
              </w:tabs>
              <w:spacing w:after="0" w:before="119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11.3.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outras contingências relevantes não abrangidas pelos itens anteriores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236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88" w:lineRule="auto"/>
              <w:ind w:left="71" w:right="47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condenações judiciais, administrativas ou arbitrais, transitadas em julgado, prolatadas nos últimos 5 (cinco) anos em processos que não estejam sob sigilo, em que a empresa tenha figurado no polo passivo, indicando: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principais fatos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75">
      <w:pPr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valores, bens ou direitos envolvidos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565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71" w:right="46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condenações judiciais, administrativas ou arbitrais, transitadas em julgado, prolatadas nos últimos 5 (cinco) anos em processos que não estejam sob sigilo, em que o diretor responsável pela consultoria de valores mobiliários tenha figurado no polo passivo e tenha afetado seus negócios ou sua reputação profissional, indicando:</w:t>
            </w:r>
          </w:p>
        </w:tc>
      </w:tr>
      <w:tr>
        <w:trPr>
          <w:cantSplit w:val="0"/>
          <w:trHeight w:val="1024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21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principais fatos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40" w:lineRule="auto"/>
              <w:ind w:left="6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valores, bens ou direitos envolvidos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8"/>
              </w:tabs>
              <w:spacing w:after="0" w:before="119" w:line="288" w:lineRule="auto"/>
              <w:ind w:left="638" w:right="476" w:hanging="56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  <w:tab/>
              <w:t xml:space="preserve">Declarações adicionais do diretor responsável pela consultoria de valores mobiliários, informando sobre:</w:t>
            </w:r>
          </w:p>
        </w:tc>
      </w:tr>
      <w:tr>
        <w:trPr>
          <w:cantSplit w:val="0"/>
          <w:trHeight w:val="4786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1065" w:right="467" w:hanging="42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 acusações decorrentes de processos administrativos, bem como punições sofridas, nos últimos 5 (cinco) anos, em decorrência de atividade sujeita ao controle e fiscalização da CVM, Banco Central do Brasil, Superintendência de Seguros Privados – SUSEP ou da Superintendência Nacional de Previdência Complementar – PREVIC, incluindo que não está inabilitado ou suspenso para o exercício de cargo em instituições financeiras e demais entidades autorizadas a funcionar pelos citados órgãos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69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Não há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acusações decorrentes de processos administrativos, bem como punições sofridas, nos últimos 5 (cinco) anos, em decorrência de atividade sujeita ao controle e fiscalização da CVM, Banco Central do Brasil, Superintendência de Seguros Privados – SUSEP ou da Superintendência Nacional de Previdência Complementar – PREVIC, incluindo que não está inabilitado ou suspenso para o exercício de cargo em instituições financeiras e demais entidades autorizadas a funcionar pelos citados órgãos.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spacing w:line="288" w:lineRule="auto"/>
        <w:jc w:val="both"/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1" w:before="1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185.0" w:type="dxa"/>
        <w:jc w:val="left"/>
        <w:tblInd w:w="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4123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88" w:lineRule="auto"/>
              <w:ind w:left="1065" w:right="474" w:hanging="42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 condenações por crime falimentar, prevaricação, suborno, concussão, peculato, “lavagem” de dinheiro ou ocultação de bens, direitos e valores, contra a economia popular, a ordem econômica, as relações de consumo, a fé pública ou a propriedade pública, o sistema financeiro nacional, ou a pena criminal que vede, ainda que temporariamente, o acesso a cargos públicos, por decisão transitada em julgado, ressalvada a hipótese de reabilitação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4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Não há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condenações por crime falimentar, prevaricação, suborno, concussão, peculato, “lavagem” de dinheiro ou ocultação de bens, direitos e valores, contra a economia popular, a ordem econômica, as relações de consumo, a fé pública ou a propriedade pública, o sistema financeiro nacional, ou a pena criminal que vede, ainda que temporariamente, o acesso a cargos públicos, por decisão transitada em julgado, ressalvada a hipótese de reabilitação.</w:t>
            </w:r>
          </w:p>
        </w:tc>
      </w:tr>
      <w:tr>
        <w:trPr>
          <w:cantSplit w:val="0"/>
          <w:trHeight w:val="2135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88" w:lineRule="auto"/>
              <w:ind w:left="1065" w:right="475" w:hanging="42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  <w:t xml:space="preserve">impedimentos de administrar seus bens ou deles dispor em razão de decisão judicial e administrativa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Não há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impedimentos de administrar seus bens ou deles dispor em razão de decisão judicial e administrativa.</w:t>
            </w:r>
          </w:p>
        </w:tc>
      </w:tr>
      <w:tr>
        <w:trPr>
          <w:cantSplit w:val="0"/>
          <w:trHeight w:val="2138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5"/>
              </w:tabs>
              <w:spacing w:after="0" w:before="119" w:line="288" w:lineRule="auto"/>
              <w:ind w:left="1065" w:right="471" w:hanging="42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</w:t>
              <w:tab/>
              <w:t xml:space="preserve">inclusão em relação de comitentes inadimplentes de entidade administradora de mercado organizado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88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Não há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inclusão em relação de comitentes inadimplentes de entidade administradora de mercado organizado.</w:t>
            </w:r>
          </w:p>
        </w:tc>
      </w:tr>
    </w:tbl>
    <w:p w:rsidR="00000000" w:rsidDel="00000000" w:rsidP="00000000" w:rsidRDefault="00000000" w:rsidRPr="00000000" w14:paraId="00000197">
      <w:pPr>
        <w:spacing w:line="288" w:lineRule="auto"/>
        <w:rPr>
          <w:sz w:val="24"/>
          <w:szCs w:val="24"/>
        </w:rPr>
        <w:sectPr>
          <w:type w:val="nextPage"/>
          <w:pgSz w:h="16850" w:w="11910" w:orient="portrait"/>
          <w:pgMar w:bottom="440" w:top="2740" w:left="620" w:right="460" w:header="306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84816885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023045" y="3779365"/>
                          <a:ext cx="6645910" cy="1270"/>
                        </a:xfrm>
                        <a:custGeom>
                          <a:rect b="b" l="l" r="r" t="t"/>
                          <a:pathLst>
                            <a:path extrusionOk="0" h="120000"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DDDDD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84816885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4" w:type="default"/>
      <w:footerReference r:id="rId15" w:type="default"/>
      <w:type w:val="nextPage"/>
      <w:pgSz w:h="16850" w:w="11910" w:orient="portrait"/>
      <w:pgMar w:bottom="1120" w:top="1380" w:left="620" w:right="459" w:header="711" w:footer="9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10388600</wp:posOffset>
              </wp:positionV>
              <wp:extent cx="2242820" cy="173355"/>
              <wp:effectExtent b="0" l="0" r="0" t="0"/>
              <wp:wrapNone/>
              <wp:docPr id="184816885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229353" y="3698085"/>
                        <a:ext cx="22332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1"/>
                              <w:i w:val="0"/>
                              <w:smallCaps w:val="0"/>
                              <w:strike w:val="0"/>
                              <w:color w:val="999999"/>
                              <w:sz w:val="16"/>
                              <w:vertAlign w:val="baseline"/>
                            </w:rPr>
                            <w:t xml:space="preserve">Clicksign </w:t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1"/>
                              <w:i w:val="0"/>
                              <w:smallCaps w:val="0"/>
                              <w:strike w:val="0"/>
                              <w:color w:val="aaaaaa"/>
                              <w:sz w:val="14"/>
                              <w:vertAlign w:val="baseline"/>
                            </w:rPr>
                            <w:t xml:space="preserve">0214e6fe-83d5-4559-b51d-f27d89c9ec40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10388600</wp:posOffset>
              </wp:positionV>
              <wp:extent cx="2242820" cy="173355"/>
              <wp:effectExtent b="0" l="0" r="0" t="0"/>
              <wp:wrapNone/>
              <wp:docPr id="184816885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2820" cy="173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10388600</wp:posOffset>
              </wp:positionV>
              <wp:extent cx="2242820" cy="173355"/>
              <wp:effectExtent b="0" l="0" r="0" t="0"/>
              <wp:wrapNone/>
              <wp:docPr id="184816885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229353" y="3698085"/>
                        <a:ext cx="22332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10388600</wp:posOffset>
              </wp:positionV>
              <wp:extent cx="2242820" cy="173355"/>
              <wp:effectExtent b="0" l="0" r="0" t="0"/>
              <wp:wrapNone/>
              <wp:docPr id="184816885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2820" cy="173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3651594</wp:posOffset>
          </wp:positionH>
          <wp:positionV relativeFrom="page">
            <wp:posOffset>194006</wp:posOffset>
          </wp:positionV>
          <wp:extent cx="610688" cy="601317"/>
          <wp:effectExtent b="0" l="0" r="0" t="0"/>
          <wp:wrapNone/>
          <wp:docPr id="184816886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688" cy="6013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1147128</wp:posOffset>
              </wp:positionH>
              <wp:positionV relativeFrom="page">
                <wp:posOffset>797878</wp:posOffset>
              </wp:positionV>
              <wp:extent cx="5619115" cy="657860"/>
              <wp:effectExtent b="0" l="0" r="0" t="0"/>
              <wp:wrapNone/>
              <wp:docPr id="184816885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541205" y="3455833"/>
                        <a:ext cx="5609590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30.00000953674316"/>
                            <w:ind w:left="325.99998474121094" w:right="327.00000762939453" w:firstLine="325.9999847412109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COMISSÃO DE VALORES MOBILIÁRIOS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30.99998474121094" w:right="327.00000762939453" w:firstLine="330.9999847412109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Rua Sete de Setembro, 111/2-5º e 23-34º Andares, Centro, Rio de Janeiro/RJ – CEP: 20050-901 – Brasil - Tel.: (21) 3554-8686 Rua Cincinato Braga, 340/2º, 3º e 4º Andares, Bela Vista, São Paulo/ SP – CEP: 01333-010 – Brasil - Tel.: (11) 2146-2000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182.99999713897705"/>
                            <w:ind w:left="32.00000047683716" w:right="32.00000047683716" w:firstLine="32.0000004768371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SCN Q.02 – Bl. A – Ed. Corporate Financial Center, S.404/4º Andar, Brasília/DF – CEP: 70712-900 – Brasil -Tel.: (61) 3327-2030/2031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6.00000381469727"/>
                            <w:ind w:left="327.00000762939453" w:right="327.00000762939453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u w:val="single"/>
                              <w:vertAlign w:val="baseline"/>
                            </w:rPr>
                            <w:t xml:space="preserve">www.cvm.gov.br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1147128</wp:posOffset>
              </wp:positionH>
              <wp:positionV relativeFrom="page">
                <wp:posOffset>797878</wp:posOffset>
              </wp:positionV>
              <wp:extent cx="5619115" cy="657860"/>
              <wp:effectExtent b="0" l="0" r="0" t="0"/>
              <wp:wrapNone/>
              <wp:docPr id="184816885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9115" cy="657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3651594</wp:posOffset>
          </wp:positionH>
          <wp:positionV relativeFrom="page">
            <wp:posOffset>194006</wp:posOffset>
          </wp:positionV>
          <wp:extent cx="610688" cy="601317"/>
          <wp:effectExtent b="0" l="0" r="0" t="0"/>
          <wp:wrapNone/>
          <wp:docPr id="18481688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688" cy="6013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1805940</wp:posOffset>
              </wp:positionH>
              <wp:positionV relativeFrom="page">
                <wp:posOffset>1682750</wp:posOffset>
              </wp:positionV>
              <wp:extent cx="3175" cy="12700"/>
              <wp:effectExtent b="0" l="0" r="0" t="0"/>
              <wp:wrapNone/>
              <wp:docPr id="184816886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326950" y="3778413"/>
                        <a:ext cx="3810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1805940</wp:posOffset>
              </wp:positionH>
              <wp:positionV relativeFrom="page">
                <wp:posOffset>1682750</wp:posOffset>
              </wp:positionV>
              <wp:extent cx="3175" cy="12700"/>
              <wp:effectExtent b="0" l="0" r="0" t="0"/>
              <wp:wrapNone/>
              <wp:docPr id="184816886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1147128</wp:posOffset>
              </wp:positionH>
              <wp:positionV relativeFrom="page">
                <wp:posOffset>797878</wp:posOffset>
              </wp:positionV>
              <wp:extent cx="5619115" cy="657860"/>
              <wp:effectExtent b="0" l="0" r="0" t="0"/>
              <wp:wrapNone/>
              <wp:docPr id="184816885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41205" y="3455833"/>
                        <a:ext cx="5609590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30.00000953674316"/>
                            <w:ind w:left="325.99998474121094" w:right="327.00000762939453" w:firstLine="325.9999847412109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COMISSÃO DE VALORES MOBILIÁRIOS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30.99998474121094" w:right="327.00000762939453" w:firstLine="330.9999847412109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Rua Sete de Setembro, 111/2-5º e 23-34º Andares, Centro, Rio de Janeiro/RJ – CEP: 20050-901 – Brasil - Tel.: (21) 3554-8686 Rua Cincinato Braga, 340/2º, 3º e 4º Andares, Bela Vista, São Paulo/ SP – CEP: 01333-010 – Brasil - Tel.: (11) 2146-2000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182.99999713897705"/>
                            <w:ind w:left="32.00000047683716" w:right="32.00000047683716" w:firstLine="32.0000004768371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SCN Q.02 – Bl. A – Ed. Corporate Financial Center, S.404/4º Andar, Brasília/DF – CEP: 70712-900 – Brasil -Tel.: (61) 3327-2030/2031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6.00000381469727"/>
                            <w:ind w:left="327.00000762939453" w:right="327.00000762939453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u w:val="single"/>
                              <w:vertAlign w:val="baseline"/>
                            </w:rPr>
                            <w:t xml:space="preserve">www.cvm.gov.br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1147128</wp:posOffset>
              </wp:positionH>
              <wp:positionV relativeFrom="page">
                <wp:posOffset>797878</wp:posOffset>
              </wp:positionV>
              <wp:extent cx="5619115" cy="657860"/>
              <wp:effectExtent b="0" l="0" r="0" t="0"/>
              <wp:wrapNone/>
              <wp:docPr id="184816885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9115" cy="657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701993</wp:posOffset>
              </wp:positionH>
              <wp:positionV relativeFrom="page">
                <wp:posOffset>1596073</wp:posOffset>
              </wp:positionV>
              <wp:extent cx="2903220" cy="165735"/>
              <wp:effectExtent b="0" l="0" r="0" t="0"/>
              <wp:wrapNone/>
              <wp:docPr id="184816885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99153" y="3701895"/>
                        <a:ext cx="289369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RESOLUÇÃO CVM N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superscript"/>
                            </w:rPr>
                            <w:t xml:space="preserve">o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19 DE 25 DE FEVEREIRO DE 2021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701993</wp:posOffset>
              </wp:positionH>
              <wp:positionV relativeFrom="page">
                <wp:posOffset>1596073</wp:posOffset>
              </wp:positionV>
              <wp:extent cx="2903220" cy="165735"/>
              <wp:effectExtent b="0" l="0" r="0" t="0"/>
              <wp:wrapNone/>
              <wp:docPr id="18481688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03220" cy="165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457200</wp:posOffset>
              </wp:positionH>
              <wp:positionV relativeFrom="page">
                <wp:posOffset>871220</wp:posOffset>
              </wp:positionV>
              <wp:extent cx="0" cy="12700"/>
              <wp:effectExtent b="0" l="0" r="0" t="0"/>
              <wp:wrapNone/>
              <wp:docPr id="184816885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23045" y="3780000"/>
                        <a:ext cx="664591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DDDDDD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457200</wp:posOffset>
              </wp:positionH>
              <wp:positionV relativeFrom="page">
                <wp:posOffset>871220</wp:posOffset>
              </wp:positionV>
              <wp:extent cx="0" cy="12700"/>
              <wp:effectExtent b="0" l="0" r="0" t="0"/>
              <wp:wrapNone/>
              <wp:docPr id="184816885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4588828</wp:posOffset>
              </wp:positionH>
              <wp:positionV relativeFrom="page">
                <wp:posOffset>434023</wp:posOffset>
              </wp:positionV>
              <wp:extent cx="2530475" cy="307340"/>
              <wp:effectExtent b="0" l="0" r="0" t="0"/>
              <wp:wrapNone/>
              <wp:docPr id="184816885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085525" y="3631093"/>
                        <a:ext cx="252095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3.00000190734863" w:line="279.99999046325684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4588828</wp:posOffset>
              </wp:positionH>
              <wp:positionV relativeFrom="page">
                <wp:posOffset>434023</wp:posOffset>
              </wp:positionV>
              <wp:extent cx="2530475" cy="307340"/>
              <wp:effectExtent b="0" l="0" r="0" t="0"/>
              <wp:wrapNone/>
              <wp:docPr id="184816885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30475" cy="307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2303" w:hanging="791.9999999999998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3087" w:hanging="792"/>
      </w:pPr>
      <w:rPr/>
    </w:lvl>
    <w:lvl w:ilvl="2">
      <w:start w:val="0"/>
      <w:numFmt w:val="bullet"/>
      <w:lvlText w:val="•"/>
      <w:lvlJc w:val="left"/>
      <w:pPr>
        <w:ind w:left="3875" w:hanging="792"/>
      </w:pPr>
      <w:rPr/>
    </w:lvl>
    <w:lvl w:ilvl="3">
      <w:start w:val="0"/>
      <w:numFmt w:val="bullet"/>
      <w:lvlText w:val="•"/>
      <w:lvlJc w:val="left"/>
      <w:pPr>
        <w:ind w:left="4662" w:hanging="792"/>
      </w:pPr>
      <w:rPr/>
    </w:lvl>
    <w:lvl w:ilvl="4">
      <w:start w:val="0"/>
      <w:numFmt w:val="bullet"/>
      <w:lvlText w:val="•"/>
      <w:lvlJc w:val="left"/>
      <w:pPr>
        <w:ind w:left="5450" w:hanging="792"/>
      </w:pPr>
      <w:rPr/>
    </w:lvl>
    <w:lvl w:ilvl="5">
      <w:start w:val="0"/>
      <w:numFmt w:val="bullet"/>
      <w:lvlText w:val="•"/>
      <w:lvlJc w:val="left"/>
      <w:pPr>
        <w:ind w:left="6237" w:hanging="792"/>
      </w:pPr>
      <w:rPr/>
    </w:lvl>
    <w:lvl w:ilvl="6">
      <w:start w:val="0"/>
      <w:numFmt w:val="bullet"/>
      <w:lvlText w:val="•"/>
      <w:lvlJc w:val="left"/>
      <w:pPr>
        <w:ind w:left="7025" w:hanging="792"/>
      </w:pPr>
      <w:rPr/>
    </w:lvl>
    <w:lvl w:ilvl="7">
      <w:start w:val="0"/>
      <w:numFmt w:val="bullet"/>
      <w:lvlText w:val="•"/>
      <w:lvlJc w:val="left"/>
      <w:pPr>
        <w:ind w:left="7812" w:hanging="792"/>
      </w:pPr>
      <w:rPr/>
    </w:lvl>
    <w:lvl w:ilvl="8">
      <w:start w:val="0"/>
      <w:numFmt w:val="bullet"/>
      <w:lvlText w:val="•"/>
      <w:lvlJc w:val="left"/>
      <w:pPr>
        <w:ind w:left="8600" w:hanging="792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2303" w:hanging="791.9999999999998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•"/>
      <w:lvlJc w:val="left"/>
      <w:pPr>
        <w:ind w:left="3087" w:hanging="792"/>
      </w:pPr>
      <w:rPr/>
    </w:lvl>
    <w:lvl w:ilvl="2">
      <w:start w:val="0"/>
      <w:numFmt w:val="bullet"/>
      <w:lvlText w:val="•"/>
      <w:lvlJc w:val="left"/>
      <w:pPr>
        <w:ind w:left="3875" w:hanging="792"/>
      </w:pPr>
      <w:rPr/>
    </w:lvl>
    <w:lvl w:ilvl="3">
      <w:start w:val="0"/>
      <w:numFmt w:val="bullet"/>
      <w:lvlText w:val="•"/>
      <w:lvlJc w:val="left"/>
      <w:pPr>
        <w:ind w:left="4662" w:hanging="792"/>
      </w:pPr>
      <w:rPr/>
    </w:lvl>
    <w:lvl w:ilvl="4">
      <w:start w:val="0"/>
      <w:numFmt w:val="bullet"/>
      <w:lvlText w:val="•"/>
      <w:lvlJc w:val="left"/>
      <w:pPr>
        <w:ind w:left="5450" w:hanging="792"/>
      </w:pPr>
      <w:rPr/>
    </w:lvl>
    <w:lvl w:ilvl="5">
      <w:start w:val="0"/>
      <w:numFmt w:val="bullet"/>
      <w:lvlText w:val="•"/>
      <w:lvlJc w:val="left"/>
      <w:pPr>
        <w:ind w:left="6237" w:hanging="792"/>
      </w:pPr>
      <w:rPr/>
    </w:lvl>
    <w:lvl w:ilvl="6">
      <w:start w:val="0"/>
      <w:numFmt w:val="bullet"/>
      <w:lvlText w:val="•"/>
      <w:lvlJc w:val="left"/>
      <w:pPr>
        <w:ind w:left="7025" w:hanging="792"/>
      </w:pPr>
      <w:rPr/>
    </w:lvl>
    <w:lvl w:ilvl="7">
      <w:start w:val="0"/>
      <w:numFmt w:val="bullet"/>
      <w:lvlText w:val="•"/>
      <w:lvlJc w:val="left"/>
      <w:pPr>
        <w:ind w:left="7812" w:hanging="792"/>
      </w:pPr>
      <w:rPr/>
    </w:lvl>
    <w:lvl w:ilvl="8">
      <w:start w:val="0"/>
      <w:numFmt w:val="bullet"/>
      <w:lvlText w:val="•"/>
      <w:lvlJc w:val="left"/>
      <w:pPr>
        <w:ind w:left="8600" w:hanging="792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2303" w:hanging="791.9999999999998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3087" w:hanging="792"/>
      </w:pPr>
      <w:rPr/>
    </w:lvl>
    <w:lvl w:ilvl="2">
      <w:start w:val="0"/>
      <w:numFmt w:val="bullet"/>
      <w:lvlText w:val="•"/>
      <w:lvlJc w:val="left"/>
      <w:pPr>
        <w:ind w:left="3875" w:hanging="792"/>
      </w:pPr>
      <w:rPr/>
    </w:lvl>
    <w:lvl w:ilvl="3">
      <w:start w:val="0"/>
      <w:numFmt w:val="bullet"/>
      <w:lvlText w:val="•"/>
      <w:lvlJc w:val="left"/>
      <w:pPr>
        <w:ind w:left="4662" w:hanging="792"/>
      </w:pPr>
      <w:rPr/>
    </w:lvl>
    <w:lvl w:ilvl="4">
      <w:start w:val="0"/>
      <w:numFmt w:val="bullet"/>
      <w:lvlText w:val="•"/>
      <w:lvlJc w:val="left"/>
      <w:pPr>
        <w:ind w:left="5450" w:hanging="792"/>
      </w:pPr>
      <w:rPr/>
    </w:lvl>
    <w:lvl w:ilvl="5">
      <w:start w:val="0"/>
      <w:numFmt w:val="bullet"/>
      <w:lvlText w:val="•"/>
      <w:lvlJc w:val="left"/>
      <w:pPr>
        <w:ind w:left="6237" w:hanging="792"/>
      </w:pPr>
      <w:rPr/>
    </w:lvl>
    <w:lvl w:ilvl="6">
      <w:start w:val="0"/>
      <w:numFmt w:val="bullet"/>
      <w:lvlText w:val="•"/>
      <w:lvlJc w:val="left"/>
      <w:pPr>
        <w:ind w:left="7025" w:hanging="792"/>
      </w:pPr>
      <w:rPr/>
    </w:lvl>
    <w:lvl w:ilvl="7">
      <w:start w:val="0"/>
      <w:numFmt w:val="bullet"/>
      <w:lvlText w:val="•"/>
      <w:lvlJc w:val="left"/>
      <w:pPr>
        <w:ind w:left="7812" w:hanging="792"/>
      </w:pPr>
      <w:rPr/>
    </w:lvl>
    <w:lvl w:ilvl="8">
      <w:start w:val="0"/>
      <w:numFmt w:val="bullet"/>
      <w:lvlText w:val="•"/>
      <w:lvlJc w:val="left"/>
      <w:pPr>
        <w:ind w:left="8600" w:hanging="792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2303" w:hanging="791.9999999999998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•"/>
      <w:lvlJc w:val="left"/>
      <w:pPr>
        <w:ind w:left="3087" w:hanging="792"/>
      </w:pPr>
      <w:rPr/>
    </w:lvl>
    <w:lvl w:ilvl="2">
      <w:start w:val="0"/>
      <w:numFmt w:val="bullet"/>
      <w:lvlText w:val="•"/>
      <w:lvlJc w:val="left"/>
      <w:pPr>
        <w:ind w:left="3875" w:hanging="792"/>
      </w:pPr>
      <w:rPr/>
    </w:lvl>
    <w:lvl w:ilvl="3">
      <w:start w:val="0"/>
      <w:numFmt w:val="bullet"/>
      <w:lvlText w:val="•"/>
      <w:lvlJc w:val="left"/>
      <w:pPr>
        <w:ind w:left="4662" w:hanging="792"/>
      </w:pPr>
      <w:rPr/>
    </w:lvl>
    <w:lvl w:ilvl="4">
      <w:start w:val="0"/>
      <w:numFmt w:val="bullet"/>
      <w:lvlText w:val="•"/>
      <w:lvlJc w:val="left"/>
      <w:pPr>
        <w:ind w:left="5450" w:hanging="792"/>
      </w:pPr>
      <w:rPr/>
    </w:lvl>
    <w:lvl w:ilvl="5">
      <w:start w:val="0"/>
      <w:numFmt w:val="bullet"/>
      <w:lvlText w:val="•"/>
      <w:lvlJc w:val="left"/>
      <w:pPr>
        <w:ind w:left="6237" w:hanging="792"/>
      </w:pPr>
      <w:rPr/>
    </w:lvl>
    <w:lvl w:ilvl="6">
      <w:start w:val="0"/>
      <w:numFmt w:val="bullet"/>
      <w:lvlText w:val="•"/>
      <w:lvlJc w:val="left"/>
      <w:pPr>
        <w:ind w:left="7025" w:hanging="792"/>
      </w:pPr>
      <w:rPr/>
    </w:lvl>
    <w:lvl w:ilvl="7">
      <w:start w:val="0"/>
      <w:numFmt w:val="bullet"/>
      <w:lvlText w:val="•"/>
      <w:lvlJc w:val="left"/>
      <w:pPr>
        <w:ind w:left="7812" w:hanging="792"/>
      </w:pPr>
      <w:rPr/>
    </w:lvl>
    <w:lvl w:ilvl="8">
      <w:start w:val="0"/>
      <w:numFmt w:val="bullet"/>
      <w:lvlText w:val="•"/>
      <w:lvlJc w:val="left"/>
      <w:pPr>
        <w:ind w:left="8600" w:hanging="792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2303" w:hanging="791.9999999999998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3087" w:hanging="792"/>
      </w:pPr>
      <w:rPr/>
    </w:lvl>
    <w:lvl w:ilvl="2">
      <w:start w:val="0"/>
      <w:numFmt w:val="bullet"/>
      <w:lvlText w:val="•"/>
      <w:lvlJc w:val="left"/>
      <w:pPr>
        <w:ind w:left="3875" w:hanging="792"/>
      </w:pPr>
      <w:rPr/>
    </w:lvl>
    <w:lvl w:ilvl="3">
      <w:start w:val="0"/>
      <w:numFmt w:val="bullet"/>
      <w:lvlText w:val="•"/>
      <w:lvlJc w:val="left"/>
      <w:pPr>
        <w:ind w:left="4662" w:hanging="792"/>
      </w:pPr>
      <w:rPr/>
    </w:lvl>
    <w:lvl w:ilvl="4">
      <w:start w:val="0"/>
      <w:numFmt w:val="bullet"/>
      <w:lvlText w:val="•"/>
      <w:lvlJc w:val="left"/>
      <w:pPr>
        <w:ind w:left="5450" w:hanging="792"/>
      </w:pPr>
      <w:rPr/>
    </w:lvl>
    <w:lvl w:ilvl="5">
      <w:start w:val="0"/>
      <w:numFmt w:val="bullet"/>
      <w:lvlText w:val="•"/>
      <w:lvlJc w:val="left"/>
      <w:pPr>
        <w:ind w:left="6237" w:hanging="792"/>
      </w:pPr>
      <w:rPr/>
    </w:lvl>
    <w:lvl w:ilvl="6">
      <w:start w:val="0"/>
      <w:numFmt w:val="bullet"/>
      <w:lvlText w:val="•"/>
      <w:lvlJc w:val="left"/>
      <w:pPr>
        <w:ind w:left="7025" w:hanging="792"/>
      </w:pPr>
      <w:rPr/>
    </w:lvl>
    <w:lvl w:ilvl="7">
      <w:start w:val="0"/>
      <w:numFmt w:val="bullet"/>
      <w:lvlText w:val="•"/>
      <w:lvlJc w:val="left"/>
      <w:pPr>
        <w:ind w:left="7812" w:hanging="792"/>
      </w:pPr>
      <w:rPr/>
    </w:lvl>
    <w:lvl w:ilvl="8">
      <w:start w:val="0"/>
      <w:numFmt w:val="bullet"/>
      <w:lvlText w:val="•"/>
      <w:lvlJc w:val="left"/>
      <w:pPr>
        <w:ind w:left="8600" w:hanging="792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2303" w:hanging="791.9999999999998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•"/>
      <w:lvlJc w:val="left"/>
      <w:pPr>
        <w:ind w:left="3087" w:hanging="792"/>
      </w:pPr>
      <w:rPr/>
    </w:lvl>
    <w:lvl w:ilvl="2">
      <w:start w:val="0"/>
      <w:numFmt w:val="bullet"/>
      <w:lvlText w:val="•"/>
      <w:lvlJc w:val="left"/>
      <w:pPr>
        <w:ind w:left="3875" w:hanging="792"/>
      </w:pPr>
      <w:rPr/>
    </w:lvl>
    <w:lvl w:ilvl="3">
      <w:start w:val="0"/>
      <w:numFmt w:val="bullet"/>
      <w:lvlText w:val="•"/>
      <w:lvlJc w:val="left"/>
      <w:pPr>
        <w:ind w:left="4662" w:hanging="792"/>
      </w:pPr>
      <w:rPr/>
    </w:lvl>
    <w:lvl w:ilvl="4">
      <w:start w:val="0"/>
      <w:numFmt w:val="bullet"/>
      <w:lvlText w:val="•"/>
      <w:lvlJc w:val="left"/>
      <w:pPr>
        <w:ind w:left="5450" w:hanging="792"/>
      </w:pPr>
      <w:rPr/>
    </w:lvl>
    <w:lvl w:ilvl="5">
      <w:start w:val="0"/>
      <w:numFmt w:val="bullet"/>
      <w:lvlText w:val="•"/>
      <w:lvlJc w:val="left"/>
      <w:pPr>
        <w:ind w:left="6237" w:hanging="792"/>
      </w:pPr>
      <w:rPr/>
    </w:lvl>
    <w:lvl w:ilvl="6">
      <w:start w:val="0"/>
      <w:numFmt w:val="bullet"/>
      <w:lvlText w:val="•"/>
      <w:lvlJc w:val="left"/>
      <w:pPr>
        <w:ind w:left="7025" w:hanging="792"/>
      </w:pPr>
      <w:rPr/>
    </w:lvl>
    <w:lvl w:ilvl="7">
      <w:start w:val="0"/>
      <w:numFmt w:val="bullet"/>
      <w:lvlText w:val="•"/>
      <w:lvlJc w:val="left"/>
      <w:pPr>
        <w:ind w:left="7812" w:hanging="792"/>
      </w:pPr>
      <w:rPr/>
    </w:lvl>
    <w:lvl w:ilvl="8">
      <w:start w:val="0"/>
      <w:numFmt w:val="bullet"/>
      <w:lvlText w:val="•"/>
      <w:lvlJc w:val="left"/>
      <w:pPr>
        <w:ind w:left="8600" w:hanging="792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211" w:hanging="14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215" w:hanging="140"/>
      </w:pPr>
      <w:rPr/>
    </w:lvl>
    <w:lvl w:ilvl="2">
      <w:start w:val="0"/>
      <w:numFmt w:val="bullet"/>
      <w:lvlText w:val="•"/>
      <w:lvlJc w:val="left"/>
      <w:pPr>
        <w:ind w:left="2211" w:hanging="140"/>
      </w:pPr>
      <w:rPr/>
    </w:lvl>
    <w:lvl w:ilvl="3">
      <w:start w:val="0"/>
      <w:numFmt w:val="bullet"/>
      <w:lvlText w:val="•"/>
      <w:lvlJc w:val="left"/>
      <w:pPr>
        <w:ind w:left="3206" w:hanging="140"/>
      </w:pPr>
      <w:rPr/>
    </w:lvl>
    <w:lvl w:ilvl="4">
      <w:start w:val="0"/>
      <w:numFmt w:val="bullet"/>
      <w:lvlText w:val="•"/>
      <w:lvlJc w:val="left"/>
      <w:pPr>
        <w:ind w:left="4202" w:hanging="140"/>
      </w:pPr>
      <w:rPr/>
    </w:lvl>
    <w:lvl w:ilvl="5">
      <w:start w:val="0"/>
      <w:numFmt w:val="bullet"/>
      <w:lvlText w:val="•"/>
      <w:lvlJc w:val="left"/>
      <w:pPr>
        <w:ind w:left="5197" w:hanging="140"/>
      </w:pPr>
      <w:rPr/>
    </w:lvl>
    <w:lvl w:ilvl="6">
      <w:start w:val="0"/>
      <w:numFmt w:val="bullet"/>
      <w:lvlText w:val="•"/>
      <w:lvlJc w:val="left"/>
      <w:pPr>
        <w:ind w:left="6193" w:hanging="140"/>
      </w:pPr>
      <w:rPr/>
    </w:lvl>
    <w:lvl w:ilvl="7">
      <w:start w:val="0"/>
      <w:numFmt w:val="bullet"/>
      <w:lvlText w:val="•"/>
      <w:lvlJc w:val="left"/>
      <w:pPr>
        <w:ind w:left="7188" w:hanging="140"/>
      </w:pPr>
      <w:rPr/>
    </w:lvl>
    <w:lvl w:ilvl="8">
      <w:start w:val="0"/>
      <w:numFmt w:val="bullet"/>
      <w:lvlText w:val="•"/>
      <w:lvlJc w:val="left"/>
      <w:pPr>
        <w:ind w:left="8184" w:hanging="14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2303" w:hanging="791.9999999999998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•"/>
      <w:lvlJc w:val="left"/>
      <w:pPr>
        <w:ind w:left="3087" w:hanging="792"/>
      </w:pPr>
      <w:rPr/>
    </w:lvl>
    <w:lvl w:ilvl="2">
      <w:start w:val="0"/>
      <w:numFmt w:val="bullet"/>
      <w:lvlText w:val="•"/>
      <w:lvlJc w:val="left"/>
      <w:pPr>
        <w:ind w:left="3875" w:hanging="792"/>
      </w:pPr>
      <w:rPr/>
    </w:lvl>
    <w:lvl w:ilvl="3">
      <w:start w:val="0"/>
      <w:numFmt w:val="bullet"/>
      <w:lvlText w:val="•"/>
      <w:lvlJc w:val="left"/>
      <w:pPr>
        <w:ind w:left="4662" w:hanging="792"/>
      </w:pPr>
      <w:rPr/>
    </w:lvl>
    <w:lvl w:ilvl="4">
      <w:start w:val="0"/>
      <w:numFmt w:val="bullet"/>
      <w:lvlText w:val="•"/>
      <w:lvlJc w:val="left"/>
      <w:pPr>
        <w:ind w:left="5450" w:hanging="792"/>
      </w:pPr>
      <w:rPr/>
    </w:lvl>
    <w:lvl w:ilvl="5">
      <w:start w:val="0"/>
      <w:numFmt w:val="bullet"/>
      <w:lvlText w:val="•"/>
      <w:lvlJc w:val="left"/>
      <w:pPr>
        <w:ind w:left="6237" w:hanging="792"/>
      </w:pPr>
      <w:rPr/>
    </w:lvl>
    <w:lvl w:ilvl="6">
      <w:start w:val="0"/>
      <w:numFmt w:val="bullet"/>
      <w:lvlText w:val="•"/>
      <w:lvlJc w:val="left"/>
      <w:pPr>
        <w:ind w:left="7025" w:hanging="792"/>
      </w:pPr>
      <w:rPr/>
    </w:lvl>
    <w:lvl w:ilvl="7">
      <w:start w:val="0"/>
      <w:numFmt w:val="bullet"/>
      <w:lvlText w:val="•"/>
      <w:lvlJc w:val="left"/>
      <w:pPr>
        <w:ind w:left="7812" w:hanging="792"/>
      </w:pPr>
      <w:rPr/>
    </w:lvl>
    <w:lvl w:ilvl="8">
      <w:start w:val="0"/>
      <w:numFmt w:val="bullet"/>
      <w:lvlText w:val="•"/>
      <w:lvlJc w:val="left"/>
      <w:pPr>
        <w:ind w:left="8600" w:hanging="792"/>
      </w:pPr>
      <w:rPr/>
    </w:lvl>
  </w:abstractNum>
  <w:abstractNum w:abstractNumId="9">
    <w:lvl w:ilvl="0">
      <w:start w:val="0"/>
      <w:numFmt w:val="bullet"/>
      <w:lvlText w:val="-"/>
      <w:lvlJc w:val="left"/>
      <w:pPr>
        <w:ind w:left="211" w:hanging="14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215" w:hanging="140"/>
      </w:pPr>
      <w:rPr/>
    </w:lvl>
    <w:lvl w:ilvl="2">
      <w:start w:val="0"/>
      <w:numFmt w:val="bullet"/>
      <w:lvlText w:val="•"/>
      <w:lvlJc w:val="left"/>
      <w:pPr>
        <w:ind w:left="2211" w:hanging="140"/>
      </w:pPr>
      <w:rPr/>
    </w:lvl>
    <w:lvl w:ilvl="3">
      <w:start w:val="0"/>
      <w:numFmt w:val="bullet"/>
      <w:lvlText w:val="•"/>
      <w:lvlJc w:val="left"/>
      <w:pPr>
        <w:ind w:left="3206" w:hanging="140"/>
      </w:pPr>
      <w:rPr/>
    </w:lvl>
    <w:lvl w:ilvl="4">
      <w:start w:val="0"/>
      <w:numFmt w:val="bullet"/>
      <w:lvlText w:val="•"/>
      <w:lvlJc w:val="left"/>
      <w:pPr>
        <w:ind w:left="4202" w:hanging="140"/>
      </w:pPr>
      <w:rPr/>
    </w:lvl>
    <w:lvl w:ilvl="5">
      <w:start w:val="0"/>
      <w:numFmt w:val="bullet"/>
      <w:lvlText w:val="•"/>
      <w:lvlJc w:val="left"/>
      <w:pPr>
        <w:ind w:left="5197" w:hanging="140"/>
      </w:pPr>
      <w:rPr/>
    </w:lvl>
    <w:lvl w:ilvl="6">
      <w:start w:val="0"/>
      <w:numFmt w:val="bullet"/>
      <w:lvlText w:val="•"/>
      <w:lvlJc w:val="left"/>
      <w:pPr>
        <w:ind w:left="6193" w:hanging="140"/>
      </w:pPr>
      <w:rPr/>
    </w:lvl>
    <w:lvl w:ilvl="7">
      <w:start w:val="0"/>
      <w:numFmt w:val="bullet"/>
      <w:lvlText w:val="•"/>
      <w:lvlJc w:val="left"/>
      <w:pPr>
        <w:ind w:left="7188" w:hanging="140"/>
      </w:pPr>
      <w:rPr/>
    </w:lvl>
    <w:lvl w:ilvl="8">
      <w:start w:val="0"/>
      <w:numFmt w:val="bullet"/>
      <w:lvlText w:val="•"/>
      <w:lvlJc w:val="left"/>
      <w:pPr>
        <w:ind w:left="8184" w:hanging="140"/>
      </w:pPr>
      <w:rPr/>
    </w:lvl>
  </w:abstractNum>
  <w:abstractNum w:abstractNumId="10">
    <w:lvl w:ilvl="0">
      <w:start w:val="0"/>
      <w:numFmt w:val="bullet"/>
      <w:lvlText w:val="-"/>
      <w:lvlJc w:val="left"/>
      <w:pPr>
        <w:ind w:left="211" w:hanging="14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215" w:hanging="140"/>
      </w:pPr>
      <w:rPr/>
    </w:lvl>
    <w:lvl w:ilvl="2">
      <w:start w:val="0"/>
      <w:numFmt w:val="bullet"/>
      <w:lvlText w:val="•"/>
      <w:lvlJc w:val="left"/>
      <w:pPr>
        <w:ind w:left="2211" w:hanging="140"/>
      </w:pPr>
      <w:rPr/>
    </w:lvl>
    <w:lvl w:ilvl="3">
      <w:start w:val="0"/>
      <w:numFmt w:val="bullet"/>
      <w:lvlText w:val="•"/>
      <w:lvlJc w:val="left"/>
      <w:pPr>
        <w:ind w:left="3207" w:hanging="140"/>
      </w:pPr>
      <w:rPr/>
    </w:lvl>
    <w:lvl w:ilvl="4">
      <w:start w:val="0"/>
      <w:numFmt w:val="bullet"/>
      <w:lvlText w:val="•"/>
      <w:lvlJc w:val="left"/>
      <w:pPr>
        <w:ind w:left="4202" w:hanging="140"/>
      </w:pPr>
      <w:rPr/>
    </w:lvl>
    <w:lvl w:ilvl="5">
      <w:start w:val="0"/>
      <w:numFmt w:val="bullet"/>
      <w:lvlText w:val="•"/>
      <w:lvlJc w:val="left"/>
      <w:pPr>
        <w:ind w:left="5198" w:hanging="140"/>
      </w:pPr>
      <w:rPr/>
    </w:lvl>
    <w:lvl w:ilvl="6">
      <w:start w:val="0"/>
      <w:numFmt w:val="bullet"/>
      <w:lvlText w:val="•"/>
      <w:lvlJc w:val="left"/>
      <w:pPr>
        <w:ind w:left="6194" w:hanging="140"/>
      </w:pPr>
      <w:rPr/>
    </w:lvl>
    <w:lvl w:ilvl="7">
      <w:start w:val="0"/>
      <w:numFmt w:val="bullet"/>
      <w:lvlText w:val="•"/>
      <w:lvlJc w:val="left"/>
      <w:pPr>
        <w:ind w:left="7189" w:hanging="140"/>
      </w:pPr>
      <w:rPr/>
    </w:lvl>
    <w:lvl w:ilvl="8">
      <w:start w:val="0"/>
      <w:numFmt w:val="bullet"/>
      <w:lvlText w:val="•"/>
      <w:lvlJc w:val="left"/>
      <w:pPr>
        <w:ind w:left="8185" w:hanging="140"/>
      </w:pPr>
      <w:rPr/>
    </w:lvl>
  </w:abstractNum>
  <w:abstractNum w:abstractNumId="11">
    <w:lvl w:ilvl="0">
      <w:start w:val="0"/>
      <w:numFmt w:val="bullet"/>
      <w:lvlText w:val="-"/>
      <w:lvlJc w:val="left"/>
      <w:pPr>
        <w:ind w:left="179" w:hanging="14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179" w:hanging="140"/>
      </w:pPr>
      <w:rPr/>
    </w:lvl>
    <w:lvl w:ilvl="2">
      <w:start w:val="0"/>
      <w:numFmt w:val="bullet"/>
      <w:lvlText w:val="•"/>
      <w:lvlJc w:val="left"/>
      <w:pPr>
        <w:ind w:left="2179" w:hanging="140"/>
      </w:pPr>
      <w:rPr/>
    </w:lvl>
    <w:lvl w:ilvl="3">
      <w:start w:val="0"/>
      <w:numFmt w:val="bullet"/>
      <w:lvlText w:val="•"/>
      <w:lvlJc w:val="left"/>
      <w:pPr>
        <w:ind w:left="3178" w:hanging="140"/>
      </w:pPr>
      <w:rPr/>
    </w:lvl>
    <w:lvl w:ilvl="4">
      <w:start w:val="0"/>
      <w:numFmt w:val="bullet"/>
      <w:lvlText w:val="•"/>
      <w:lvlJc w:val="left"/>
      <w:pPr>
        <w:ind w:left="4178" w:hanging="140"/>
      </w:pPr>
      <w:rPr/>
    </w:lvl>
    <w:lvl w:ilvl="5">
      <w:start w:val="0"/>
      <w:numFmt w:val="bullet"/>
      <w:lvlText w:val="•"/>
      <w:lvlJc w:val="left"/>
      <w:pPr>
        <w:ind w:left="5177" w:hanging="140"/>
      </w:pPr>
      <w:rPr/>
    </w:lvl>
    <w:lvl w:ilvl="6">
      <w:start w:val="0"/>
      <w:numFmt w:val="bullet"/>
      <w:lvlText w:val="•"/>
      <w:lvlJc w:val="left"/>
      <w:pPr>
        <w:ind w:left="6177" w:hanging="140"/>
      </w:pPr>
      <w:rPr/>
    </w:lvl>
    <w:lvl w:ilvl="7">
      <w:start w:val="0"/>
      <w:numFmt w:val="bullet"/>
      <w:lvlText w:val="•"/>
      <w:lvlJc w:val="left"/>
      <w:pPr>
        <w:ind w:left="7176" w:hanging="140"/>
      </w:pPr>
      <w:rPr/>
    </w:lvl>
    <w:lvl w:ilvl="8">
      <w:start w:val="0"/>
      <w:numFmt w:val="bullet"/>
      <w:lvlText w:val="•"/>
      <w:lvlJc w:val="left"/>
      <w:pPr>
        <w:ind w:left="8176" w:hanging="1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37" w:lineRule="auto"/>
      <w:ind w:left="10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129" w:line="330" w:lineRule="auto"/>
      <w:ind w:left="100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spacing w:before="137"/>
      <w:ind w:left="100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paragraph" w:styleId="Ttulo2">
    <w:name w:val="heading 2"/>
    <w:basedOn w:val="Normal"/>
    <w:uiPriority w:val="9"/>
    <w:unhideWhenUsed w:val="1"/>
    <w:qFormat w:val="1"/>
    <w:pPr>
      <w:spacing w:before="129" w:line="330" w:lineRule="exact"/>
      <w:ind w:left="100"/>
      <w:outlineLvl w:val="1"/>
    </w:pPr>
    <w:rPr>
      <w:rFonts w:ascii="Arial" w:cs="Arial" w:eastAsia="Arial" w:hAnsi="Arial"/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rFonts w:ascii="Microsoft Sans Serif" w:cs="Microsoft Sans Serif" w:eastAsia="Microsoft Sans Serif" w:hAnsi="Microsoft Sans Serif"/>
      <w:sz w:val="18"/>
      <w:szCs w:val="18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19"/>
      <w:ind w:left="71"/>
    </w:pPr>
  </w:style>
  <w:style w:type="paragraph" w:styleId="Cabealho">
    <w:name w:val="header"/>
    <w:basedOn w:val="Normal"/>
    <w:link w:val="CabealhoChar"/>
    <w:uiPriority w:val="99"/>
    <w:unhideWhenUsed w:val="1"/>
    <w:rsid w:val="003679F4"/>
    <w:pPr>
      <w:tabs>
        <w:tab w:val="center" w:pos="4513"/>
        <w:tab w:val="right" w:pos="9026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679F4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3679F4"/>
    <w:pPr>
      <w:tabs>
        <w:tab w:val="center" w:pos="4513"/>
        <w:tab w:val="right" w:pos="9026"/>
      </w:tabs>
    </w:pPr>
  </w:style>
  <w:style w:type="character" w:styleId="RodapChar" w:customStyle="1">
    <w:name w:val="Rodapé Char"/>
    <w:basedOn w:val="Fontepargpadro"/>
    <w:link w:val="Rodap"/>
    <w:uiPriority w:val="99"/>
    <w:rsid w:val="003679F4"/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5C66F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C66F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image" Target="media/image8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footer" Target="footer3.xml"/><Relationship Id="rId1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KMoHJhUHFkovd9mpk+tog3Z5g==">CgMxLjA4AHIhMU41R0JPWk1RQU1BTEk2T1p5ekxxdUV0Q2czMzZNSF92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2023-08-21T21:08:00Z</dcterms:created>
  <dc:creator>CVM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2023-08-21T00:00:00Z</vt:filetime>
  </property>
  <property fmtid="{D5CDD505-2E9C-101B-9397-08002B2CF9AE}" pid="5" name="LastSaved">
    <vt:lpwstr>2023-08-21T00:00:00Z</vt:lpwstr>
  </property>
  <property fmtid="{D5CDD505-2E9C-101B-9397-08002B2CF9AE}" pid="6" name="Creator">
    <vt:lpwstr>Microsoft® Word 2019</vt:lpwstr>
  </property>
  <property fmtid="{D5CDD505-2E9C-101B-9397-08002B2CF9AE}" pid="7" name="Created">
    <vt:lpwstr>2023-03-21T00:00:00Z</vt:lpwstr>
  </property>
</Properties>
</file>