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79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2590"/>
        <w:gridCol w:w="2797"/>
        <w:tblGridChange w:id="0">
          <w:tblGrid>
            <w:gridCol w:w="2405"/>
            <w:gridCol w:w="2590"/>
            <w:gridCol w:w="27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Política Institucional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Aprovado por: xxxxxxxxxxxx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Aplicação: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AUVP Consultoria Financeira de Investimentos Ltda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Criação: __/__/2023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Publicação: __/__/2023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Versão nº 1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540" w:right="1572" w:firstLine="0"/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Política de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Suitability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6840" w:w="11920" w:orient="portrait"/>
          <w:pgMar w:bottom="1134" w:top="1701" w:left="1701" w:right="1134" w:header="737" w:footer="811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101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Sumário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0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21"/>
              <w:tab w:val="right" w:leader="none" w:pos="8222"/>
            </w:tabs>
            <w:spacing w:after="0" w:before="0" w:line="240" w:lineRule="auto"/>
            <w:ind w:left="821" w:right="0" w:hanging="36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1,1,"</w:instrText>
            <w:fldChar w:fldCharType="separate"/>
          </w:r>
          <w:hyperlink w:anchor="_heading=h.gjdgx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Objetivo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0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21"/>
              <w:tab w:val="right" w:leader="none" w:pos="8222"/>
            </w:tabs>
            <w:spacing w:after="0" w:before="0" w:line="240" w:lineRule="auto"/>
            <w:ind w:left="821" w:right="0" w:hanging="36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0j0zll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Responsabilidades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0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21"/>
              <w:tab w:val="right" w:leader="none" w:pos="8222"/>
            </w:tabs>
            <w:spacing w:after="0" w:before="0" w:line="240" w:lineRule="auto"/>
            <w:ind w:left="821" w:right="0" w:hanging="36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Definição do Perfil do Cliente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0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21"/>
              <w:tab w:val="right" w:leader="none" w:pos="8222"/>
            </w:tabs>
            <w:spacing w:after="0" w:before="0" w:line="240" w:lineRule="auto"/>
            <w:ind w:left="821" w:right="0" w:hanging="36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Recusa de Preenchimento do Perfil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0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21"/>
              <w:tab w:val="right" w:leader="none" w:pos="8222"/>
            </w:tabs>
            <w:spacing w:after="0" w:before="0" w:line="240" w:lineRule="auto"/>
            <w:ind w:left="821" w:right="0" w:hanging="36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Atualização do Perfil de Investidor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0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21"/>
              <w:tab w:val="right" w:leader="none" w:pos="8222"/>
            </w:tabs>
            <w:spacing w:after="0" w:before="0" w:line="240" w:lineRule="auto"/>
            <w:ind w:left="821" w:right="0" w:hanging="36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Revisão e Atualização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3">
      <w:pPr>
        <w:rPr>
          <w:rFonts w:ascii="Arial" w:cs="Arial" w:eastAsia="Arial" w:hAnsi="Arial"/>
        </w:rPr>
        <w:sectPr>
          <w:type w:val="nextPage"/>
          <w:pgSz w:h="16840" w:w="11920" w:orient="portrait"/>
          <w:pgMar w:bottom="1134" w:top="1701" w:left="1701" w:right="1134" w:header="737" w:footer="81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" w:right="136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  <w:tab/>
        <w:t xml:space="preserve">OBJETIVO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" w:right="136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" w:right="136" w:firstLine="61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presente documento tem como objetivo estabelecer as condutas e procedimentos observados pela AUVP relativamente à definição do perfil de investidor dos seus clientes. Sendo assim, se busca      assegurar que os serviços prestados pela AUVP Investimentos sejam adequados aos objetivos de investimentos do cliente, se o cliente possui conhecimento necessário para entender os riscos atrelados às diferentes classes de ativos, se a situação financeira do cliente é compatível com o modelo de alocação, se as necessidades futuras do cliente correspondem aos seus objetivos financeiros, e se o horizonte de investimentos do cliente permite uma maior ou menor exposição ao risco.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" w:right="1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Estes procedimentos são realizados pela empresa para aqueles clientes que estabeleçam uma relação contratual com a empresa para a prestação do serviço de consultoria de valores mobiliários.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  <w:tab/>
        <w:t xml:space="preserve">RESPONSABILIDADES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" w:right="133" w:firstLine="61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a realização de qualquer procedimento de recomendação de carteira, é obrigatório o preenchimento prévio do formulário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suitability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ou seja, é responsabilidade de todos os colaboradores, mas, especialmente, do Consultor do cliente, assegurar que o perfil de risco do cliente será traçado anteriormente a etapa de recomendação de modelo de alocação.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" w:right="134" w:firstLine="61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 de total responsabilidade do cliente o preenchimento de todas as informações previstas no formulário, não sendo responsabilidade da AUVP a qualquer análise subjetiva adicional aos dados compartilhados.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  <w:tab/>
        <w:t xml:space="preserve">DEFINIÇÃO DO PERFIL DO CLIENTE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5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AUVP Consultoria com o objetivo de identificar o perfil de risco do investidor e assim definir qual é o modelo de alocação de ativos mais adequado ao perfil do cliente, após realiza</w:t>
      </w:r>
      <w:r w:rsidDel="00000000" w:rsidR="00000000" w:rsidRPr="00000000">
        <w:rPr>
          <w:rFonts w:ascii="Arial" w:cs="Arial" w:eastAsia="Arial" w:hAnsi="Arial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um processo de coleta de informações.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5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5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 processo é realizado na fase inicial da entrega do serviço, mediante a coleta via formulário de dados que têm o objetivo de auxiliar na compreensão das seguintes informações: (i) situação financeira e familiar do cliente; (ii) experiência com investimentos; (iii) tolerância a riscos; (iv) necessidade de liquidez; (v) horizonte de investimentos; e (vi) objetivos financeiros. Este processo também pode ser </w:t>
      </w:r>
      <w:r w:rsidDel="00000000" w:rsidR="00000000" w:rsidRPr="00000000">
        <w:rPr>
          <w:rFonts w:ascii="Arial" w:cs="Arial" w:eastAsia="Arial" w:hAnsi="Arial"/>
          <w:rtl w:val="0"/>
        </w:rPr>
        <w:t xml:space="preserve">preenchido pelo consultor, em uma reunião presencial ou virtual.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5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5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dados obtidos influenciam na definição do nível de capacidade e de propensão ao risco de cada cliente. Com base nos nossos modelos de alocação de ativos, traçamos o perfil de risco para que possamos sugerir qual é o modelo de alocação mais adequado, identificando os seguintes perfis: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5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40" w:lineRule="auto"/>
        <w:ind w:left="821" w:right="13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Ultraconservador: é esperada uma volatilidade de longo prazo baixa para esse portfólio. O portfólio típico deste perfil mantém a  totalidade de seus recursos em títulos e fundos indexados ao CDI/Inflação, e outros ativos de renda fixa.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40" w:lineRule="auto"/>
        <w:ind w:left="821" w:right="1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40" w:lineRule="auto"/>
        <w:ind w:left="821" w:right="137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Conservador: é esperada uma volatilidade de longo prazo média-baixa para esse portfólio. Portfólio típico deste perfil é composto por títulos e fundos indexados ao CDI/Inflação e pré-fixados, e discreta exposição a ativos de renda variável nacional e internacional.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1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40" w:lineRule="auto"/>
        <w:ind w:left="821" w:right="13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40" w:lineRule="auto"/>
        <w:ind w:left="821" w:right="134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Moderado: é esperada uma volatilidade de longo prazo média para esse portfólio. Portfólio típico deste perfil também é composto por títulos e fundos indexados ao CDI, instrumentos de renda fixa nacional e internacional, além de uma maior participação em ações e demais ativos de renda variável.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40" w:lineRule="auto"/>
        <w:ind w:left="821" w:right="1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40" w:lineRule="auto"/>
        <w:ind w:left="821" w:right="138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Agressivo: é esperada uma volatilidade de longo prazo média-alta para esse portfólio. Portfólio típico deste perfil é composto preponderantemente por ativos de renda variável, como ações,  fundos imobiliários e ativos de renda variável internacional, e também exposição reduzida em títulos de renda fixa indexados ao CDI e inflação, e pré-fixados.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1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40" w:lineRule="auto"/>
        <w:ind w:left="821" w:right="134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Ultra agressivo: é esperada uma volatilidade de longo prazo alta para esse portfólio. Um portfólio típico desse perfil mantém alocação majoritariamente (i.e., acima de 90%) em ações nacionais e/oudemais ativos de renda variável internacional.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1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40" w:lineRule="auto"/>
        <w:ind w:left="821" w:right="1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</w:t>
        <w:tab/>
        <w:t xml:space="preserve">RECUSA DE PREENCHIMENTO DO PERFIL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" w:right="134" w:firstLine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Há a possibilidade de que o cliente se abstenha de responder o questionário fornecido pela AUVP, responsabilizando-se integralmente por sua renúncia. Neste caso, a AUVP não poderá realizar qualquer recomendação de carteira para o cliente.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</w:t>
        <w:tab/>
        <w:t xml:space="preserve">ATUALIZAÇÃO DO PERFIL DE INVESTIDOR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" w:right="134" w:firstLine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AUVP, por meio dos procedimentos internos estabelecidos e explicitados neste documento, define adicionalmente que a atualização da política de cada cliente não será realizada em prazo superior a 24 meses, implementando uma nova análise e classificação, caso necessário.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</w:t>
        <w:tab/>
        <w:t xml:space="preserve">REVISÃO E ATUALIZAÇÃO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" w:right="1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AUVP poderá revisar esta Política caso ocorra qualquer alteração da metodologia de verificação em função de alterações legais/regulatórias ou mudanças internas.</w:t>
      </w:r>
    </w:p>
    <w:sectPr>
      <w:type w:val="nextPage"/>
      <w:pgSz w:h="16840" w:w="11920" w:orient="portrait"/>
      <w:pgMar w:bottom="1134" w:top="1701" w:left="1701" w:right="1134" w:header="737" w:footer="81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Lucida San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10020300</wp:posOffset>
              </wp:positionV>
              <wp:extent cx="1844040" cy="244475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33505" y="3667288"/>
                        <a:ext cx="1824990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5" w:line="328.99998664855957"/>
                            <w:ind w:left="20" w:right="0" w:firstLine="4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10020300</wp:posOffset>
              </wp:positionV>
              <wp:extent cx="1844040" cy="244475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44040" cy="2444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5257800</wp:posOffset>
              </wp:positionH>
              <wp:positionV relativeFrom="paragraph">
                <wp:posOffset>10020300</wp:posOffset>
              </wp:positionV>
              <wp:extent cx="172720" cy="244475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69165" y="3667288"/>
                        <a:ext cx="153670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5" w:line="328.99998664855957"/>
                            <w:ind w:left="60" w:right="0" w:firstLine="1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Lucida Sans" w:cs="Lucida Sans" w:eastAsia="Lucida Sans" w:hAnsi="Lucida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5257800</wp:posOffset>
              </wp:positionH>
              <wp:positionV relativeFrom="paragraph">
                <wp:posOffset>10020300</wp:posOffset>
              </wp:positionV>
              <wp:extent cx="172720" cy="244475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720" cy="2444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-3173</wp:posOffset>
          </wp:positionH>
          <wp:positionV relativeFrom="page">
            <wp:posOffset>1270</wp:posOffset>
          </wp:positionV>
          <wp:extent cx="7566659" cy="1005839"/>
          <wp:effectExtent b="0" l="0" r="0" t="0"/>
          <wp:wrapNone/>
          <wp:docPr descr="Logotipo&#10;&#10;Descrição gerada automaticamente" id="11" name="image1.jp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6659" cy="100583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821" w:hanging="360.0000000000001"/>
      </w:pPr>
      <w:rPr>
        <w:rFonts w:ascii="Helvetica Neue" w:cs="Helvetica Neue" w:eastAsia="Helvetica Neue" w:hAnsi="Helvetica Neue"/>
        <w:sz w:val="24"/>
        <w:szCs w:val="24"/>
      </w:rPr>
    </w:lvl>
    <w:lvl w:ilvl="1">
      <w:start w:val="0"/>
      <w:numFmt w:val="bullet"/>
      <w:lvlText w:val="•"/>
      <w:lvlJc w:val="left"/>
      <w:pPr>
        <w:ind w:left="1612" w:hanging="360"/>
      </w:pPr>
      <w:rPr/>
    </w:lvl>
    <w:lvl w:ilvl="2">
      <w:start w:val="0"/>
      <w:numFmt w:val="bullet"/>
      <w:lvlText w:val="•"/>
      <w:lvlJc w:val="left"/>
      <w:pPr>
        <w:ind w:left="2404" w:hanging="360"/>
      </w:pPr>
      <w:rPr/>
    </w:lvl>
    <w:lvl w:ilvl="3">
      <w:start w:val="0"/>
      <w:numFmt w:val="bullet"/>
      <w:lvlText w:val="•"/>
      <w:lvlJc w:val="left"/>
      <w:pPr>
        <w:ind w:left="3196" w:hanging="360"/>
      </w:pPr>
      <w:rPr/>
    </w:lvl>
    <w:lvl w:ilvl="4">
      <w:start w:val="0"/>
      <w:numFmt w:val="bullet"/>
      <w:lvlText w:val="•"/>
      <w:lvlJc w:val="left"/>
      <w:pPr>
        <w:ind w:left="3988" w:hanging="360"/>
      </w:pPr>
      <w:rPr/>
    </w:lvl>
    <w:lvl w:ilvl="5">
      <w:start w:val="0"/>
      <w:numFmt w:val="bullet"/>
      <w:lvlText w:val="•"/>
      <w:lvlJc w:val="left"/>
      <w:pPr>
        <w:ind w:left="4780" w:hanging="360"/>
      </w:pPr>
      <w:rPr/>
    </w:lvl>
    <w:lvl w:ilvl="6">
      <w:start w:val="0"/>
      <w:numFmt w:val="bullet"/>
      <w:lvlText w:val="•"/>
      <w:lvlJc w:val="left"/>
      <w:pPr>
        <w:ind w:left="5572" w:hanging="360"/>
      </w:pPr>
      <w:rPr/>
    </w:lvl>
    <w:lvl w:ilvl="7">
      <w:start w:val="0"/>
      <w:numFmt w:val="bullet"/>
      <w:lvlText w:val="•"/>
      <w:lvlJc w:val="left"/>
      <w:pPr>
        <w:ind w:left="6364" w:hanging="360"/>
      </w:pPr>
      <w:rPr/>
    </w:lvl>
    <w:lvl w:ilvl="8">
      <w:start w:val="0"/>
      <w:numFmt w:val="bullet"/>
      <w:lvlText w:val="•"/>
      <w:lvlJc w:val="left"/>
      <w:pPr>
        <w:ind w:left="7156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821" w:hanging="360.0000000000001"/>
      </w:pPr>
      <w:rPr>
        <w:rFonts w:ascii="Arial" w:cs="Arial" w:eastAsia="Arial" w:hAnsi="Arial"/>
        <w:b w:val="1"/>
        <w:sz w:val="24"/>
        <w:szCs w:val="24"/>
      </w:rPr>
    </w:lvl>
    <w:lvl w:ilvl="1">
      <w:start w:val="0"/>
      <w:numFmt w:val="bullet"/>
      <w:lvlText w:val="•"/>
      <w:lvlJc w:val="left"/>
      <w:pPr>
        <w:ind w:left="1612" w:hanging="360"/>
      </w:pPr>
      <w:rPr/>
    </w:lvl>
    <w:lvl w:ilvl="2">
      <w:start w:val="0"/>
      <w:numFmt w:val="bullet"/>
      <w:lvlText w:val="•"/>
      <w:lvlJc w:val="left"/>
      <w:pPr>
        <w:ind w:left="2404" w:hanging="360"/>
      </w:pPr>
      <w:rPr/>
    </w:lvl>
    <w:lvl w:ilvl="3">
      <w:start w:val="0"/>
      <w:numFmt w:val="bullet"/>
      <w:lvlText w:val="•"/>
      <w:lvlJc w:val="left"/>
      <w:pPr>
        <w:ind w:left="3196" w:hanging="360"/>
      </w:pPr>
      <w:rPr/>
    </w:lvl>
    <w:lvl w:ilvl="4">
      <w:start w:val="0"/>
      <w:numFmt w:val="bullet"/>
      <w:lvlText w:val="•"/>
      <w:lvlJc w:val="left"/>
      <w:pPr>
        <w:ind w:left="3988" w:hanging="360"/>
      </w:pPr>
      <w:rPr/>
    </w:lvl>
    <w:lvl w:ilvl="5">
      <w:start w:val="0"/>
      <w:numFmt w:val="bullet"/>
      <w:lvlText w:val="•"/>
      <w:lvlJc w:val="left"/>
      <w:pPr>
        <w:ind w:left="4780" w:hanging="360"/>
      </w:pPr>
      <w:rPr/>
    </w:lvl>
    <w:lvl w:ilvl="6">
      <w:start w:val="0"/>
      <w:numFmt w:val="bullet"/>
      <w:lvlText w:val="•"/>
      <w:lvlJc w:val="left"/>
      <w:pPr>
        <w:ind w:left="5572" w:hanging="360"/>
      </w:pPr>
      <w:rPr/>
    </w:lvl>
    <w:lvl w:ilvl="7">
      <w:start w:val="0"/>
      <w:numFmt w:val="bullet"/>
      <w:lvlText w:val="•"/>
      <w:lvlJc w:val="left"/>
      <w:pPr>
        <w:ind w:left="6364" w:hanging="360"/>
      </w:pPr>
      <w:rPr/>
    </w:lvl>
    <w:lvl w:ilvl="8">
      <w:start w:val="0"/>
      <w:numFmt w:val="bullet"/>
      <w:lvlText w:val="•"/>
      <w:lvlJc w:val="left"/>
      <w:pPr>
        <w:ind w:left="7156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ucida Sans" w:cs="Lucida Sans" w:eastAsia="Lucida Sans" w:hAnsi="Lucida Sans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21" w:hanging="360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21" w:hanging="360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Lucida Sans Unicode" w:cs="Lucida Sans Unicode" w:eastAsia="Lucida Sans Unicode" w:hAnsi="Lucida Sans Unicode"/>
      <w:lang w:val="pt-PT"/>
    </w:rPr>
  </w:style>
  <w:style w:type="paragraph" w:styleId="Ttulo1">
    <w:name w:val="heading 1"/>
    <w:basedOn w:val="Normal"/>
    <w:uiPriority w:val="9"/>
    <w:qFormat w:val="1"/>
    <w:pPr>
      <w:ind w:left="821" w:hanging="360"/>
      <w:outlineLvl w:val="0"/>
    </w:pPr>
    <w:rPr>
      <w:rFonts w:ascii="Arial" w:cs="Arial" w:eastAsia="Arial" w:hAnsi="Arial"/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mrio1">
    <w:name w:val="toc 1"/>
    <w:basedOn w:val="Normal"/>
    <w:uiPriority w:val="1"/>
    <w:qFormat w:val="1"/>
    <w:pPr>
      <w:spacing w:before="39"/>
      <w:ind w:left="821" w:hanging="360"/>
    </w:pPr>
    <w:rPr>
      <w:rFonts w:ascii="Arial" w:cs="Arial" w:eastAsia="Arial" w:hAnsi="Arial"/>
      <w:b w:val="1"/>
      <w:bCs w:val="1"/>
      <w:sz w:val="24"/>
      <w:szCs w:val="24"/>
    </w:r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821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1B04C8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B04C8"/>
    <w:rPr>
      <w:rFonts w:ascii="Lucida Sans Unicode" w:cs="Lucida Sans Unicode" w:eastAsia="Lucida Sans Unicode" w:hAnsi="Lucida Sans Unicode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1B04C8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B04C8"/>
    <w:rPr>
      <w:rFonts w:ascii="Lucida Sans Unicode" w:cs="Lucida Sans Unicode" w:eastAsia="Lucida Sans Unicode" w:hAnsi="Lucida Sans Unicode"/>
      <w:lang w:val="pt-PT"/>
    </w:rPr>
  </w:style>
  <w:style w:type="table" w:styleId="Tabelacomgrade">
    <w:name w:val="Table Grid"/>
    <w:basedOn w:val="Tabelanormal"/>
    <w:uiPriority w:val="39"/>
    <w:rsid w:val="007E04F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06MvEFBkPXvazXLhEMEQOfW0mw==">CgMxLjAyCGguZ2pkZ3hzMgloLjMwajB6bGwyCWguMWZvYjl0ZTIJaC4zem55c2g3MgloLjJldDkycDAyCGgudHlqY3d0OABqKgoUc3VnZ2VzdC53OW4yNmV6NnR4dGgSEkJyZW5uZXIgTmVwb211Y2Vub2oqChRzdWdnZXN0LjF6bmE5a3JkaW1zMBISQnJlbm5lciBOZXBvbXVjZW5vciExSU16ejdWZGVrbkZGZzBDUE9DWlpMNDZ3SjZJbUwzeVI=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2023-03-07T22:31:00Z</dcterms:created>
  <dc:creator>Brenner Nepomuceno</dc:creator>
</cp:coreProperties>
</file>