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79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5"/>
        <w:gridCol w:w="2590"/>
        <w:gridCol w:w="2797"/>
        <w:tblGridChange w:id="0">
          <w:tblGrid>
            <w:gridCol w:w="2405"/>
            <w:gridCol w:w="2590"/>
            <w:gridCol w:w="27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Política Institucional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Aplicação: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AUVP Consultoria Financeira de Investimentos Ltda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Criação: 01/08/2023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Versão nº 1</w:t>
            </w:r>
          </w:p>
        </w:tc>
      </w:tr>
    </w:tbl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center"/>
        <w:rPr>
          <w:rFonts w:ascii="Arial" w:cs="Arial" w:eastAsia="Arial" w:hAnsi="Arial"/>
          <w:b w:val="1"/>
          <w:color w:val="1f3764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POLÍTICA DE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COMPLIANCE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E CONTROLES INTERNOS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b w:val="1"/>
        </w:rPr>
        <w:sectPr>
          <w:headerReference r:id="rId7" w:type="default"/>
          <w:footerReference r:id="rId8" w:type="default"/>
          <w:pgSz w:h="16840" w:w="11920" w:orient="portrait"/>
          <w:pgMar w:bottom="1020" w:top="1600" w:left="1600" w:right="1580" w:header="720" w:footer="827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Este “Manual de Compliance e de controles internos” aplica-se aos sócios, diretores, funcionários, prestadores de serviço, terceirizados, consultores e demais pessoas físicas ou jurídicas contratadas, ou outras entidades que participem, de forma direta, das atividades diárias e negócios, representando a AUVP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Os colaboradores da AUVP deverão estar familiarizados com o conteúdo deste documento, sendo que eventuais irregularidades devem ser reportadas ao Diretor de Compliance.</w:t>
      </w:r>
    </w:p>
    <w:p w:rsidR="00000000" w:rsidDel="00000000" w:rsidP="00000000" w:rsidRDefault="00000000" w:rsidRPr="00000000" w14:paraId="0000002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área de Compliance da AUVP é coordenada pelo Diretor de Compliance, o qual tem total independência para o desempenho das suas funções e tomada de decisões na sua esfera de atuação. Sua atuação é transversal, na medida em que a perenidade e a eficácia do compliance é de interesse de toda a empresa.</w:t>
      </w:r>
    </w:p>
    <w:p w:rsidR="00000000" w:rsidDel="00000000" w:rsidP="00000000" w:rsidRDefault="00000000" w:rsidRPr="00000000" w14:paraId="0000002C">
      <w:pPr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Cabe a área de Compliance, garantir, por meio de regras, procedimentos e controles internos adequados, o permanente atendimento às normas, políticas e regulamentações vigentes, referentes à diversas modalidades de investimentos, à própria atividade de consultoria de valores mobiliários e aos seus padrões éticos e profissionais.</w:t>
      </w:r>
    </w:p>
    <w:p w:rsidR="00000000" w:rsidDel="00000000" w:rsidP="00000000" w:rsidRDefault="00000000" w:rsidRPr="00000000" w14:paraId="0000002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Diretor de Compliance se reportará diretamente ao Diretor Presidente e sócios da AUVP, em especial para relato de questões, eventuais irregularidades e andamento do programa de Compliance. </w:t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Arial" w:cs="Arial" w:eastAsia="Arial" w:hAnsi="Arial"/>
          <w:b w:val="1"/>
          <w:smallCaps w:val="1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rtl w:val="0"/>
        </w:rPr>
        <w:t xml:space="preserve">ESCOPO DAS ATIVIDADES DA DIRETORIA DE COMPLIANCE</w:t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Integra o escopo de atuação da Diretoria de Compliance o seguinte:</w:t>
      </w:r>
    </w:p>
    <w:p w:rsidR="00000000" w:rsidDel="00000000" w:rsidP="00000000" w:rsidRDefault="00000000" w:rsidRPr="00000000" w14:paraId="00000034">
      <w:pPr>
        <w:ind w:firstLine="72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135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Apresentar a novos colaboradores, e sempre que alterados, a todos os colaboradores, os seguintes documentos: Manual de Compliance; Código de Ética e Conduta</w:t>
      </w:r>
      <w:r w:rsidDel="00000000" w:rsidR="00000000" w:rsidRPr="00000000">
        <w:rPr>
          <w:rFonts w:ascii="Arial" w:cs="Arial" w:eastAsia="Arial" w:hAnsi="Arial"/>
          <w:rtl w:val="0"/>
        </w:rPr>
        <w:t xml:space="preserve">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Política de Investimentos e Suitability</w:t>
      </w:r>
      <w:r w:rsidDel="00000000" w:rsidR="00000000" w:rsidRPr="00000000">
        <w:rPr>
          <w:rFonts w:ascii="Arial" w:cs="Arial" w:eastAsia="Arial" w:hAnsi="Arial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135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Validar anualmente, bem como sempre que julgar necessário, todos os regulamentos e normas de conduta interna, rotinas e procedimentos, adequando-os às normas e instruções dos órgãos reguladores das atividades desenvolvidas pela AUVP;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135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Acompanhar </w:t>
      </w:r>
      <w:r w:rsidDel="00000000" w:rsidR="00000000" w:rsidRPr="00000000">
        <w:rPr>
          <w:rFonts w:ascii="Arial" w:cs="Arial" w:eastAsia="Arial" w:hAnsi="Arial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normas e instruções normativas que regulam a atividade da AUVP, bem como as discussões atinentes às mesmas no âmbito do mercado financeiro e de capitais;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135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Intermediar a relação com os órgãos reguladores e fiscalizadores, de modo a assegurar que todas as informações solicitadas sejam prontamente disponibilizadas;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135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Promover testes periódicos de segurança para os sistemas de informações, em especial os mantidos em meio eletrônico;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135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Verificar, sempre que existente, potenciais situações de conflito ou incompatibilidade de interesses entre os Colaboradores, os clientes e a própria AUVP, orientando os envolvidos e tomando as providências cabíveis;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135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Avaliar previamente as atividades externas praticadas pelos Colaboradores, com ou sem fins lucrativos, a fim de identificar eventuais riscos à reputação e imagem da AUVP;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135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Enviar as informações periódicas exigidas pela CVM, inclusive aquelas direcionadas aos  clientes, bem como a toda e qualquer entidade auto reguladora à qual a AUVP esteja vinculada;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135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Manter as informações cadastrais da AUVP junto aos órgãos reguladores e auto reguladores devidamente atualizadas, bem como aquelas disponibilizadas através do site da AUVP na internet, em especial no que se refere aos manuais e políticas adotados pela AUVP;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135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Certificar-se de que todos os Colaboradores possuem as habilitações necessárias ao desempenho das respectivas funções na AUVP medidas de controle visando a confirmação das informações cadastrais dos clientes da AUVP CONSULTORIA, informando ao Diretor responsável pela consultoria de valores mobiliários se, na análise cadastral dos clientes, houver suspeita quanto à atividade econômica/financeira desenvolvida;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135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Arial" w:cs="Arial" w:eastAsia="Arial" w:hAnsi="Arial"/>
          <w:b w:val="1"/>
          <w:smallCaps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REVISÃO E ATUALIZAÇÃO</w:t>
      </w:r>
    </w:p>
    <w:p w:rsidR="00000000" w:rsidDel="00000000" w:rsidP="00000000" w:rsidRDefault="00000000" w:rsidRPr="00000000" w14:paraId="00000042">
      <w:pPr>
        <w:jc w:val="both"/>
        <w:rPr>
          <w:rFonts w:ascii="Arial" w:cs="Arial" w:eastAsia="Arial" w:hAnsi="Arial"/>
          <w:b w:val="1"/>
          <w:smallCaps w:val="1"/>
        </w:rPr>
      </w:pPr>
      <w:bookmarkStart w:colFirst="0" w:colLast="0" w:name="_heading=h.1sahkgcihbq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Arial" w:cs="Arial" w:eastAsia="Arial" w:hAnsi="Arial"/>
        </w:rPr>
      </w:pPr>
      <w:bookmarkStart w:colFirst="0" w:colLast="0" w:name="_heading=h.zea5bmvt5ajr" w:id="2"/>
      <w:bookmarkEnd w:id="2"/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Esta política deverá ser revisada e atualizada a cada 2 (dois) anos, ou em prazo inferior, em função de mudanças legais/regulatórias.</w:t>
      </w:r>
    </w:p>
    <w:p w:rsidR="00000000" w:rsidDel="00000000" w:rsidP="00000000" w:rsidRDefault="00000000" w:rsidRPr="00000000" w14:paraId="00000045">
      <w:pPr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rFonts w:ascii="Arial" w:cs="Arial" w:eastAsia="Arial" w:hAnsi="Arial"/>
          <w:b w:val="1"/>
          <w:smallCaps w:val="1"/>
        </w:rPr>
      </w:pPr>
      <w:bookmarkStart w:colFirst="0" w:colLast="0" w:name="_heading=h.jabpoyno8tcr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rFonts w:ascii="Arial" w:cs="Arial" w:eastAsia="Arial" w:hAnsi="Arial"/>
          <w:b w:val="1"/>
          <w:i w:val="1"/>
          <w:smallCaps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RISCO DE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1"/>
          <w:rtl w:val="0"/>
        </w:rPr>
        <w:t xml:space="preserve">COMPLIANCE</w:t>
      </w:r>
    </w:p>
    <w:p w:rsidR="00000000" w:rsidDel="00000000" w:rsidP="00000000" w:rsidRDefault="00000000" w:rsidRPr="00000000" w14:paraId="00000048">
      <w:pPr>
        <w:jc w:val="both"/>
        <w:rPr>
          <w:rFonts w:ascii="Arial" w:cs="Arial" w:eastAsia="Arial" w:hAnsi="Arial"/>
          <w:b w:val="1"/>
          <w:smallCaps w:val="1"/>
        </w:rPr>
      </w:pPr>
      <w:bookmarkStart w:colFirst="0" w:colLast="0" w:name="_heading=h.1sahkgcihbq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rFonts w:ascii="Arial" w:cs="Arial" w:eastAsia="Arial" w:hAnsi="Arial"/>
        </w:rPr>
      </w:pPr>
      <w:bookmarkStart w:colFirst="0" w:colLast="0" w:name="_heading=h.zea5bmvt5ajr" w:id="2"/>
      <w:bookmarkEnd w:id="2"/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Compliance</w:t>
      </w:r>
      <w:r w:rsidDel="00000000" w:rsidR="00000000" w:rsidRPr="00000000">
        <w:rPr>
          <w:rFonts w:ascii="Arial" w:cs="Arial" w:eastAsia="Arial" w:hAnsi="Arial"/>
          <w:rtl w:val="0"/>
        </w:rPr>
        <w:t xml:space="preserve"> é responsável pelo gerenciamento do risco de, que consiste em riscos de sanções legais, regulamentares, perdas financeiras e reputacionais decorrentes de falhas em procedimentos, falhas em controles e do descumprimento de disposições legais e regulamentares, e do Código de Ética e Conduta Profissional.</w:t>
      </w:r>
    </w:p>
    <w:p w:rsidR="00000000" w:rsidDel="00000000" w:rsidP="00000000" w:rsidRDefault="00000000" w:rsidRPr="00000000" w14:paraId="0000004B">
      <w:pPr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rFonts w:ascii="Arial" w:cs="Arial" w:eastAsia="Arial" w:hAnsi="Arial"/>
          <w:b w:val="1"/>
          <w:smallCaps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SEGREGAÇÃO DAS ATIVIDADES</w:t>
      </w:r>
    </w:p>
    <w:p w:rsidR="00000000" w:rsidDel="00000000" w:rsidP="00000000" w:rsidRDefault="00000000" w:rsidRPr="00000000" w14:paraId="0000004E">
      <w:pPr>
        <w:jc w:val="both"/>
        <w:rPr>
          <w:rFonts w:ascii="Arial" w:cs="Arial" w:eastAsia="Arial" w:hAnsi="Arial"/>
          <w:b w:val="1"/>
          <w:smallCaps w:val="1"/>
        </w:rPr>
      </w:pPr>
      <w:bookmarkStart w:colFirst="0" w:colLast="0" w:name="_heading=h.1sahkgcihbq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rFonts w:ascii="Arial" w:cs="Arial" w:eastAsia="Arial" w:hAnsi="Arial"/>
        </w:rPr>
      </w:pPr>
      <w:bookmarkStart w:colFirst="0" w:colLast="0" w:name="_heading=h.zea5bmvt5ajr" w:id="2"/>
      <w:bookmarkEnd w:id="2"/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AUVP Consultoria se dedica exclusivamente a Consultoria Financeira e de Valores Mobiliários. </w:t>
      </w:r>
    </w:p>
    <w:p w:rsidR="00000000" w:rsidDel="00000000" w:rsidP="00000000" w:rsidRDefault="00000000" w:rsidRPr="00000000" w14:paraId="00000051">
      <w:pPr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Eventualmente, caso expanda o seu escopo de atuação, terá segregação da atividade de consultoria destas demais atividades eventualmente exercidas por ela própria e/ou por outras empresas de seu grupo, que possam ter eventual conflito de interesse.</w:t>
      </w:r>
    </w:p>
    <w:p w:rsidR="00000000" w:rsidDel="00000000" w:rsidP="00000000" w:rsidRDefault="00000000" w:rsidRPr="00000000" w14:paraId="00000053">
      <w:pPr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rFonts w:ascii="Arial" w:cs="Arial" w:eastAsia="Arial" w:hAnsi="Arial"/>
          <w:b w:val="1"/>
          <w:i w:val="1"/>
          <w:smallCaps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OBRIGAÇÕES RELATIVAS À CERTIFICAÇÃO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rFonts w:ascii="Arial" w:cs="Arial" w:eastAsia="Arial" w:hAnsi="Arial"/>
          <w:b w:val="1"/>
          <w:smallCaps w:val="1"/>
        </w:rPr>
      </w:pPr>
      <w:bookmarkStart w:colFirst="0" w:colLast="0" w:name="_heading=h.1sahkgcihbq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rFonts w:ascii="Arial" w:cs="Arial" w:eastAsia="Arial" w:hAnsi="Arial"/>
        </w:rPr>
      </w:pPr>
      <w:bookmarkStart w:colFirst="0" w:colLast="0" w:name="_heading=h.zea5bmvt5ajr" w:id="2"/>
      <w:bookmarkEnd w:id="2"/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AUVP Consultoria manterá no mínimo 80% dos seus consultores certificados, de forma alinhada com o patamar mínimo deferido pela Resolução CVM nº19/2021.</w:t>
      </w:r>
    </w:p>
    <w:p w:rsidR="00000000" w:rsidDel="00000000" w:rsidP="00000000" w:rsidRDefault="00000000" w:rsidRPr="00000000" w14:paraId="00000059">
      <w:pPr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>
          <w:rFonts w:ascii="Arial" w:cs="Arial" w:eastAsia="Arial" w:hAnsi="Arial"/>
          <w:i w:val="1"/>
          <w:smallCaps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COMUNICAÇÃO AOS ÓRGÃOS COMPETENTES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>
          <w:rFonts w:ascii="Arial" w:cs="Arial" w:eastAsia="Arial" w:hAnsi="Arial"/>
          <w:b w:val="1"/>
          <w:smallCaps w:val="1"/>
        </w:rPr>
      </w:pPr>
      <w:bookmarkStart w:colFirst="0" w:colLast="0" w:name="_heading=h.1sahkgcihbq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>
          <w:rFonts w:ascii="Arial" w:cs="Arial" w:eastAsia="Arial" w:hAnsi="Arial"/>
        </w:rPr>
      </w:pPr>
      <w:bookmarkStart w:colFirst="0" w:colLast="0" w:name="_heading=h.zea5bmvt5ajr" w:id="2"/>
      <w:bookmarkEnd w:id="2"/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Nos casos aplicáveis de desvio da norma específica das atividades reguladas, o Diretor de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Compliance</w:t>
      </w:r>
      <w:r w:rsidDel="00000000" w:rsidR="00000000" w:rsidRPr="00000000">
        <w:rPr>
          <w:rFonts w:ascii="Arial" w:cs="Arial" w:eastAsia="Arial" w:hAnsi="Arial"/>
          <w:rtl w:val="0"/>
        </w:rPr>
        <w:t xml:space="preserve"> deve comunicar os respectivos órgãos competentes, nos prazos regulatórios, como seguem:</w:t>
      </w:r>
    </w:p>
    <w:p w:rsidR="00000000" w:rsidDel="00000000" w:rsidP="00000000" w:rsidRDefault="00000000" w:rsidRPr="00000000" w14:paraId="0000005E">
      <w:pPr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ind w:left="144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CVM deve ser comunicada no prazo máximo de 10 (dez) dias da ocorrência da mesma ou identificação;</w:t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ind w:left="144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COAF deve ser comunicado no prazo de 24 (vinte e quatro) horas da sua identificação.</w:t>
      </w:r>
    </w:p>
    <w:p w:rsidR="00000000" w:rsidDel="00000000" w:rsidP="00000000" w:rsidRDefault="00000000" w:rsidRPr="00000000" w14:paraId="00000061">
      <w:pPr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>
          <w:rFonts w:ascii="Arial" w:cs="Arial" w:eastAsia="Arial" w:hAnsi="Arial"/>
          <w:i w:val="1"/>
          <w:smallCaps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GOVERNANÇA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rFonts w:ascii="Arial" w:cs="Arial" w:eastAsia="Arial" w:hAnsi="Arial"/>
          <w:b w:val="1"/>
          <w:smallCaps w:val="1"/>
        </w:rPr>
      </w:pPr>
      <w:bookmarkStart w:colFirst="0" w:colLast="0" w:name="_heading=h.1sahkgcihbq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>
          <w:rFonts w:ascii="Arial" w:cs="Arial" w:eastAsia="Arial" w:hAnsi="Arial"/>
        </w:rPr>
      </w:pPr>
      <w:bookmarkStart w:colFirst="0" w:colLast="0" w:name="_heading=h.zea5bmvt5ajr" w:id="2"/>
      <w:bookmarkEnd w:id="2"/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área de Compliance é coordenada pelo seu Diretor Responsável, o qual possui total independência para o desempenho das suas funções e tomada de decisão na sua esfera de atuação, sem qualquer subordinação às demais áreas da AUVP Consultoria.</w:t>
      </w:r>
    </w:p>
    <w:p w:rsidR="00000000" w:rsidDel="00000000" w:rsidP="00000000" w:rsidRDefault="00000000" w:rsidRPr="00000000" w14:paraId="00000066">
      <w:pPr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Diretor de Compliance se reportará diretamente à Diretoria da AUVP Consultoria, em especial para relato dos resultados das atividades relacionadas à função de controles internos, incluindo possíveis irregularidades e falhas identificadas.</w:t>
      </w:r>
    </w:p>
    <w:p w:rsidR="00000000" w:rsidDel="00000000" w:rsidP="00000000" w:rsidRDefault="00000000" w:rsidRPr="00000000" w14:paraId="00000068">
      <w:pPr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Para tanto, deve ser franqueado à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Compliance</w:t>
      </w:r>
      <w:r w:rsidDel="00000000" w:rsidR="00000000" w:rsidRPr="00000000">
        <w:rPr>
          <w:rFonts w:ascii="Arial" w:cs="Arial" w:eastAsia="Arial" w:hAnsi="Arial"/>
          <w:rtl w:val="0"/>
        </w:rPr>
        <w:t xml:space="preserve"> amplo acesso às informações e documentos relacionados às atividades da AUVP Consultoria, de modo que possa verificar a conformidade com a legislação e as regras internamente estabelecidas.</w:t>
      </w:r>
    </w:p>
    <w:p w:rsidR="00000000" w:rsidDel="00000000" w:rsidP="00000000" w:rsidRDefault="00000000" w:rsidRPr="00000000" w14:paraId="0000006A">
      <w:pPr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both"/>
        <w:rPr>
          <w:rFonts w:ascii="Arial" w:cs="Arial" w:eastAsia="Arial" w:hAnsi="Arial"/>
          <w:b w:val="1"/>
          <w:i w:val="1"/>
          <w:smallCaps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PREVENÇÃO E COMBATE À LAVAGEM DE DINHEIRO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both"/>
        <w:rPr>
          <w:rFonts w:ascii="Arial" w:cs="Arial" w:eastAsia="Arial" w:hAnsi="Arial"/>
          <w:b w:val="1"/>
          <w:smallCaps w:val="1"/>
        </w:rPr>
      </w:pPr>
      <w:bookmarkStart w:colFirst="0" w:colLast="0" w:name="_heading=h.1sahkgcihbq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both"/>
        <w:rPr>
          <w:rFonts w:ascii="Arial" w:cs="Arial" w:eastAsia="Arial" w:hAnsi="Arial"/>
        </w:rPr>
      </w:pPr>
      <w:bookmarkStart w:colFirst="0" w:colLast="0" w:name="_heading=h.zea5bmvt5ajr" w:id="2"/>
      <w:bookmarkEnd w:id="2"/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AUVP Consultoria verificará a existência de indícios de lavagem de dinheiro nas operações propostas pelos clientes. Desta forma, adotará medidas de controle visando a confirmação das informações cadastrais dos clientes da AUVP Consultoria, informando ao Diretor responsável pela consultoria de valores mobiliários se, na análise cadastral dos clientes, houver suspeita quanto à atividade econômica/financeira desenvolvida.</w:t>
      </w:r>
    </w:p>
    <w:p w:rsidR="00000000" w:rsidDel="00000000" w:rsidP="00000000" w:rsidRDefault="00000000" w:rsidRPr="00000000" w14:paraId="0000006F">
      <w:pPr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Posto também que os cadastros e informações dos clientes - orientações, recomendações, aconselhamentos de consultoria, relatórios e comunicações - pelo prazo de, no mínimo 05 (cinco) anos após a data de sua conclusão, além de analisar previamente novas tecnologias, serviços e produtos, visando à prevenção da empresa para fins de lavagens de dinheiro e financiamento do terrorismo e à corrupção.</w:t>
      </w:r>
    </w:p>
    <w:p w:rsidR="00000000" w:rsidDel="00000000" w:rsidP="00000000" w:rsidRDefault="00000000" w:rsidRPr="00000000" w14:paraId="00000071">
      <w:pPr>
        <w:jc w:val="both"/>
        <w:rPr>
          <w:rFonts w:ascii="Arial" w:cs="Arial" w:eastAsia="Arial" w:hAnsi="Arial"/>
          <w:b w:val="1"/>
          <w:smallCaps w:val="1"/>
        </w:rPr>
      </w:pPr>
      <w:bookmarkStart w:colFirst="0" w:colLast="0" w:name="_heading=h.1sahkgcihbq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both"/>
        <w:rPr>
          <w:rFonts w:ascii="Arial" w:cs="Arial" w:eastAsia="Arial" w:hAnsi="Arial"/>
        </w:rPr>
      </w:pPr>
      <w:bookmarkStart w:colFirst="0" w:colLast="0" w:name="_heading=h.zea5bmvt5ajr" w:id="2"/>
      <w:bookmarkEnd w:id="2"/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ab/>
      </w:r>
      <w:r w:rsidDel="00000000" w:rsidR="00000000" w:rsidRPr="00000000">
        <w:rPr>
          <w:rtl w:val="0"/>
        </w:rPr>
      </w:r>
    </w:p>
    <w:sectPr>
      <w:footerReference r:id="rId9" w:type="default"/>
      <w:type w:val="nextPage"/>
      <w:pgSz w:h="16840" w:w="11920" w:orient="portrait"/>
      <w:pgMar w:bottom="1276" w:top="1560" w:left="1600" w:right="863" w:header="0" w:footer="82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Lucida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Lucida Sans" w:cs="Lucida Sans" w:eastAsia="Lucida Sans" w:hAnsi="Lucida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10007600</wp:posOffset>
              </wp:positionV>
              <wp:extent cx="2009140" cy="262255"/>
              <wp:effectExtent b="0" l="0" r="0" t="0"/>
              <wp:wrapNone/>
              <wp:docPr id="47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4350955" y="3658398"/>
                        <a:ext cx="1990090" cy="243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5.999999046325684" w:line="356.9999885559082"/>
                            <w:ind w:left="20" w:right="0" w:firstLine="2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10007600</wp:posOffset>
              </wp:positionV>
              <wp:extent cx="2009140" cy="262255"/>
              <wp:effectExtent b="0" l="0" r="0" t="0"/>
              <wp:wrapNone/>
              <wp:docPr id="47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09140" cy="2622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4965700</wp:posOffset>
              </wp:positionH>
              <wp:positionV relativeFrom="paragraph">
                <wp:posOffset>10007600</wp:posOffset>
              </wp:positionV>
              <wp:extent cx="179705" cy="262255"/>
              <wp:effectExtent b="0" l="0" r="0" t="0"/>
              <wp:wrapNone/>
              <wp:docPr id="48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65673" y="3658398"/>
                        <a:ext cx="160655" cy="243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5.999999046325684" w:line="356.9999885559082"/>
                            <w:ind w:left="60" w:right="0" w:firstLine="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25.999999046325684" w:line="356.9999885559082"/>
                            <w:ind w:left="60" w:right="0" w:firstLine="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Lucida Sans" w:cs="Lucida Sans" w:eastAsia="Lucida Sans" w:hAnsi="Lucida San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1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4965700</wp:posOffset>
              </wp:positionH>
              <wp:positionV relativeFrom="paragraph">
                <wp:posOffset>10007600</wp:posOffset>
              </wp:positionV>
              <wp:extent cx="179705" cy="262255"/>
              <wp:effectExtent b="0" l="0" r="0" t="0"/>
              <wp:wrapNone/>
              <wp:docPr id="48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9705" cy="2622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Lucida Sans" w:cs="Lucida Sans" w:eastAsia="Lucida Sans" w:hAnsi="Lucida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10007600</wp:posOffset>
              </wp:positionV>
              <wp:extent cx="2009140" cy="262255"/>
              <wp:effectExtent b="0" l="0" r="0" t="0"/>
              <wp:wrapNone/>
              <wp:docPr id="4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350955" y="3658398"/>
                        <a:ext cx="1990090" cy="243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5.999999046325684" w:line="356.9999885559082"/>
                            <w:ind w:left="20" w:right="0" w:firstLine="2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10007600</wp:posOffset>
              </wp:positionV>
              <wp:extent cx="2009140" cy="262255"/>
              <wp:effectExtent b="0" l="0" r="0" t="0"/>
              <wp:wrapNone/>
              <wp:docPr id="4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09140" cy="2622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2705100</wp:posOffset>
              </wp:positionH>
              <wp:positionV relativeFrom="paragraph">
                <wp:posOffset>10007600</wp:posOffset>
              </wp:positionV>
              <wp:extent cx="728345" cy="262255"/>
              <wp:effectExtent b="0" l="0" r="0" t="0"/>
              <wp:wrapNone/>
              <wp:docPr id="45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991353" y="3658398"/>
                        <a:ext cx="709295" cy="243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5.999999046325684" w:line="356.9999885559082"/>
                            <w:ind w:left="20" w:right="0" w:firstLine="2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2705100</wp:posOffset>
              </wp:positionH>
              <wp:positionV relativeFrom="paragraph">
                <wp:posOffset>10007600</wp:posOffset>
              </wp:positionV>
              <wp:extent cx="728345" cy="262255"/>
              <wp:effectExtent b="0" l="0" r="0" t="0"/>
              <wp:wrapNone/>
              <wp:docPr id="4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8345" cy="2622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4991100</wp:posOffset>
              </wp:positionH>
              <wp:positionV relativeFrom="paragraph">
                <wp:posOffset>10007600</wp:posOffset>
              </wp:positionV>
              <wp:extent cx="213995" cy="262255"/>
              <wp:effectExtent b="0" l="0" r="0" t="0"/>
              <wp:wrapNone/>
              <wp:docPr id="46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248528" y="3658398"/>
                        <a:ext cx="194945" cy="243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5.999999046325684" w:line="356.9999885559082"/>
                            <w:ind w:left="20" w:right="0" w:firstLine="2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4991100</wp:posOffset>
              </wp:positionH>
              <wp:positionV relativeFrom="paragraph">
                <wp:posOffset>10007600</wp:posOffset>
              </wp:positionV>
              <wp:extent cx="213995" cy="262255"/>
              <wp:effectExtent b="0" l="0" r="0" t="0"/>
              <wp:wrapNone/>
              <wp:docPr id="46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995" cy="2622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5940"/>
      </w:tabs>
      <w:spacing w:after="0" w:before="0" w:line="240" w:lineRule="auto"/>
      <w:ind w:left="0" w:right="0" w:firstLine="0"/>
      <w:jc w:val="left"/>
      <w:rPr>
        <w:rFonts w:ascii="Lucida Sans" w:cs="Lucida Sans" w:eastAsia="Lucida Sans" w:hAnsi="Lucida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Lucida Sans" w:cs="Lucida Sans" w:eastAsia="Lucida Sans" w:hAnsi="Lucida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-9523</wp:posOffset>
          </wp:positionH>
          <wp:positionV relativeFrom="page">
            <wp:posOffset>-190498</wp:posOffset>
          </wp:positionV>
          <wp:extent cx="7561890" cy="1005205"/>
          <wp:effectExtent b="0" l="0" r="0" t="0"/>
          <wp:wrapNone/>
          <wp:docPr descr="Logotipo&#10;&#10;Descrição gerada automaticamente" id="49" name="image1.jpg"/>
          <a:graphic>
            <a:graphicData uri="http://schemas.openxmlformats.org/drawingml/2006/picture">
              <pic:pic>
                <pic:nvPicPr>
                  <pic:cNvPr descr="Logotipo&#10;&#10;Descrição gerada automaticament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1890" cy="10052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Lucida Sans" w:cs="Lucida Sans" w:eastAsia="Lucida Sans" w:hAnsi="Lucida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ucida Sans" w:cs="Lucida Sans" w:eastAsia="Lucida Sans" w:hAnsi="Lucida Sans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93" w:lineRule="auto"/>
      <w:ind w:left="101"/>
      <w:jc w:val="both"/>
    </w:pPr>
    <w:rPr>
      <w:sz w:val="32"/>
      <w:szCs w:val="32"/>
    </w:rPr>
  </w:style>
  <w:style w:type="paragraph" w:styleId="Heading2">
    <w:name w:val="heading 2"/>
    <w:basedOn w:val="Normal"/>
    <w:next w:val="Normal"/>
    <w:pPr>
      <w:spacing w:before="123" w:lineRule="auto"/>
      <w:ind w:left="101"/>
    </w:pPr>
    <w:rPr>
      <w:rFonts w:ascii="Arial" w:cs="Arial" w:eastAsia="Arial" w:hAnsi="Arial"/>
      <w:b w:val="1"/>
      <w:sz w:val="28"/>
      <w:szCs w:val="28"/>
    </w:rPr>
  </w:style>
  <w:style w:type="paragraph" w:styleId="Heading3">
    <w:name w:val="heading 3"/>
    <w:basedOn w:val="Normal"/>
    <w:next w:val="Normal"/>
    <w:pPr>
      <w:ind w:left="101"/>
      <w:jc w:val="both"/>
    </w:pPr>
    <w:rPr>
      <w:rFonts w:ascii="Arial" w:cs="Arial" w:eastAsia="Arial" w:hAnsi="Arial"/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354" w:lineRule="auto"/>
      <w:ind w:left="416" w:right="448"/>
      <w:jc w:val="center"/>
    </w:pPr>
    <w:rPr>
      <w:rFonts w:ascii="Arial" w:cs="Arial" w:eastAsia="Arial" w:hAnsi="Arial"/>
      <w:b w:val="1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93" w:lineRule="auto"/>
      <w:ind w:left="101"/>
      <w:jc w:val="both"/>
    </w:pPr>
    <w:rPr>
      <w:sz w:val="32"/>
      <w:szCs w:val="32"/>
    </w:rPr>
  </w:style>
  <w:style w:type="paragraph" w:styleId="Heading2">
    <w:name w:val="heading 2"/>
    <w:basedOn w:val="Normal"/>
    <w:next w:val="Normal"/>
    <w:pPr>
      <w:spacing w:before="123" w:lineRule="auto"/>
      <w:ind w:left="101"/>
    </w:pPr>
    <w:rPr>
      <w:rFonts w:ascii="Arial" w:cs="Arial" w:eastAsia="Arial" w:hAnsi="Arial"/>
      <w:b w:val="1"/>
      <w:sz w:val="28"/>
      <w:szCs w:val="28"/>
    </w:rPr>
  </w:style>
  <w:style w:type="paragraph" w:styleId="Heading3">
    <w:name w:val="heading 3"/>
    <w:basedOn w:val="Normal"/>
    <w:next w:val="Normal"/>
    <w:pPr>
      <w:ind w:left="101"/>
      <w:jc w:val="both"/>
    </w:pPr>
    <w:rPr>
      <w:rFonts w:ascii="Arial" w:cs="Arial" w:eastAsia="Arial" w:hAnsi="Arial"/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354" w:lineRule="auto"/>
      <w:ind w:left="416" w:right="448"/>
      <w:jc w:val="center"/>
    </w:pPr>
    <w:rPr>
      <w:rFonts w:ascii="Arial" w:cs="Arial" w:eastAsia="Arial" w:hAnsi="Arial"/>
      <w:b w:val="1"/>
      <w:sz w:val="56"/>
      <w:szCs w:val="56"/>
    </w:rPr>
  </w:style>
  <w:style w:type="paragraph" w:styleId="Normal" w:default="1">
    <w:name w:val="Normal"/>
    <w:qFormat w:val="1"/>
    <w:rPr>
      <w:rFonts w:ascii="Lucida Sans Unicode" w:cs="Lucida Sans Unicode" w:eastAsia="Lucida Sans Unicode" w:hAnsi="Lucida Sans Unicode"/>
      <w:lang w:val="pt-PT"/>
    </w:rPr>
  </w:style>
  <w:style w:type="paragraph" w:styleId="Ttulo1">
    <w:name w:val="heading 1"/>
    <w:basedOn w:val="Normal"/>
    <w:uiPriority w:val="9"/>
    <w:qFormat w:val="1"/>
    <w:pPr>
      <w:spacing w:before="93"/>
      <w:ind w:left="101"/>
      <w:jc w:val="both"/>
      <w:outlineLvl w:val="0"/>
    </w:pPr>
    <w:rPr>
      <w:sz w:val="32"/>
      <w:szCs w:val="32"/>
    </w:rPr>
  </w:style>
  <w:style w:type="paragraph" w:styleId="Ttulo2">
    <w:name w:val="heading 2"/>
    <w:basedOn w:val="Normal"/>
    <w:uiPriority w:val="9"/>
    <w:unhideWhenUsed w:val="1"/>
    <w:qFormat w:val="1"/>
    <w:pPr>
      <w:spacing w:before="123"/>
      <w:ind w:left="101"/>
      <w:outlineLvl w:val="1"/>
    </w:pPr>
    <w:rPr>
      <w:rFonts w:ascii="Arial" w:cs="Arial" w:eastAsia="Arial" w:hAnsi="Arial"/>
      <w:b w:val="1"/>
      <w:bCs w:val="1"/>
      <w:sz w:val="28"/>
      <w:szCs w:val="28"/>
    </w:rPr>
  </w:style>
  <w:style w:type="paragraph" w:styleId="Ttulo3">
    <w:name w:val="heading 3"/>
    <w:basedOn w:val="Normal"/>
    <w:uiPriority w:val="9"/>
    <w:unhideWhenUsed w:val="1"/>
    <w:qFormat w:val="1"/>
    <w:pPr>
      <w:ind w:left="101"/>
      <w:jc w:val="both"/>
      <w:outlineLvl w:val="2"/>
    </w:pPr>
    <w:rPr>
      <w:rFonts w:ascii="Arial" w:cs="Arial" w:eastAsia="Arial" w:hAnsi="Arial"/>
      <w:b w:val="1"/>
      <w:bCs w:val="1"/>
      <w:sz w:val="24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mrio1">
    <w:name w:val="toc 1"/>
    <w:basedOn w:val="Normal"/>
    <w:uiPriority w:val="39"/>
    <w:qFormat w:val="1"/>
    <w:pPr>
      <w:spacing w:before="202"/>
      <w:ind w:left="101"/>
    </w:pPr>
    <w:rPr>
      <w:rFonts w:ascii="Calibri" w:cs="Calibri" w:eastAsia="Calibri" w:hAnsi="Calibri"/>
      <w:b w:val="1"/>
      <w:bCs w:val="1"/>
      <w:sz w:val="24"/>
      <w:szCs w:val="24"/>
    </w:rPr>
  </w:style>
  <w:style w:type="paragraph" w:styleId="Corpodetexto">
    <w:name w:val="Body Text"/>
    <w:basedOn w:val="Normal"/>
    <w:uiPriority w:val="1"/>
    <w:qFormat w:val="1"/>
    <w:pPr>
      <w:ind w:left="101"/>
      <w:jc w:val="both"/>
    </w:pPr>
    <w:rPr>
      <w:sz w:val="24"/>
      <w:szCs w:val="24"/>
    </w:rPr>
  </w:style>
  <w:style w:type="paragraph" w:styleId="Ttulo">
    <w:name w:val="Title"/>
    <w:basedOn w:val="Normal"/>
    <w:uiPriority w:val="10"/>
    <w:qFormat w:val="1"/>
    <w:pPr>
      <w:spacing w:before="354"/>
      <w:ind w:left="416" w:right="448"/>
      <w:jc w:val="center"/>
    </w:pPr>
    <w:rPr>
      <w:rFonts w:ascii="Arial" w:cs="Arial" w:eastAsia="Arial" w:hAnsi="Arial"/>
      <w:b w:val="1"/>
      <w:bCs w:val="1"/>
      <w:sz w:val="56"/>
      <w:szCs w:val="56"/>
    </w:rPr>
  </w:style>
  <w:style w:type="paragraph" w:styleId="PargrafodaLista">
    <w:name w:val="List Paragraph"/>
    <w:basedOn w:val="Normal"/>
    <w:uiPriority w:val="1"/>
    <w:qFormat w:val="1"/>
    <w:pPr>
      <w:ind w:left="821" w:right="135" w:hanging="360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Cabealho">
    <w:name w:val="header"/>
    <w:basedOn w:val="Normal"/>
    <w:link w:val="CabealhoChar"/>
    <w:uiPriority w:val="99"/>
    <w:unhideWhenUsed w:val="1"/>
    <w:rsid w:val="00422004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422004"/>
    <w:rPr>
      <w:rFonts w:ascii="Lucida Sans Unicode" w:cs="Lucida Sans Unicode" w:eastAsia="Lucida Sans Unicode" w:hAnsi="Lucida Sans Unicode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422004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422004"/>
    <w:rPr>
      <w:rFonts w:ascii="Lucida Sans Unicode" w:cs="Lucida Sans Unicode" w:eastAsia="Lucida Sans Unicode" w:hAnsi="Lucida Sans Unicode"/>
      <w:lang w:val="pt-PT"/>
    </w:rPr>
  </w:style>
  <w:style w:type="character" w:styleId="Hyperlink">
    <w:name w:val="Hyperlink"/>
    <w:basedOn w:val="Fontepargpadro"/>
    <w:uiPriority w:val="99"/>
    <w:unhideWhenUsed w:val="1"/>
    <w:rsid w:val="00A17A93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4F22A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K10XYqeu/bAF2Yx7Ah8ZFmM1hA==">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2023-03-07T23:33:00Z</dcterms:created>
  <dc:creator>Brenner Nepomuceno</dc:creator>
</cp:coreProperties>
</file>